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E70F0D">
        <w:trPr>
          <w:trHeight w:val="1920"/>
        </w:trPr>
        <w:tc>
          <w:tcPr>
            <w:tcW w:w="10254" w:type="dxa"/>
          </w:tcPr>
          <w:p w14:paraId="3F5BFC53" w14:textId="262CF530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1A1FD9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Managed </w:t>
            </w:r>
            <w:r w:rsidR="00417729">
              <w:rPr>
                <w:rFonts w:ascii="Aptos Display" w:hAnsi="Aptos Display" w:cs="Calibri"/>
                <w:b/>
                <w:bCs/>
                <w:sz w:val="48"/>
                <w:szCs w:val="48"/>
              </w:rPr>
              <w:t>Detection &amp; Response That</w:t>
            </w:r>
            <w:r w:rsidR="00417729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  <w:t>Wins Deals</w:t>
            </w:r>
          </w:p>
        </w:tc>
      </w:tr>
    </w:tbl>
    <w:p w14:paraId="3F5BE322" w14:textId="2230C9CA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FF0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0565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729">
        <w:rPr>
          <w:rFonts w:ascii="Aptos Display" w:hAnsi="Aptos Display"/>
          <w:i/>
          <w:sz w:val="24"/>
        </w:rPr>
        <w:t xml:space="preserve">24/7 MDR </w:t>
      </w:r>
      <w:r w:rsidR="0044279B">
        <w:rPr>
          <w:rFonts w:ascii="Aptos Display" w:hAnsi="Aptos Display"/>
          <w:i/>
          <w:sz w:val="24"/>
        </w:rPr>
        <w:t>for AVANT Trusted Advisors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11112B40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Why MDR Is a Deal Accelerator</w:t>
      </w:r>
    </w:p>
    <w:p w14:paraId="5AB4E11C" w14:textId="77777777" w:rsidR="0059750E" w:rsidRPr="0059750E" w:rsidRDefault="0059750E" w:rsidP="0059750E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Security objections are one of the top reasons deals stall or slow down</w:t>
      </w:r>
    </w:p>
    <w:p w14:paraId="682CC51D" w14:textId="77777777" w:rsidR="0059750E" w:rsidRPr="0059750E" w:rsidRDefault="0059750E" w:rsidP="0059750E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Most customers lack the resources to operate a 24/7 Security Operations Center</w:t>
      </w:r>
    </w:p>
    <w:p w14:paraId="1892D07D" w14:textId="77777777" w:rsidR="0059750E" w:rsidRPr="0059750E" w:rsidRDefault="0059750E" w:rsidP="0059750E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MDR converts security risk into predictable, recurring revenue</w:t>
      </w:r>
    </w:p>
    <w:p w14:paraId="535514EA" w14:textId="77777777" w:rsidR="0059750E" w:rsidRPr="0059750E" w:rsidRDefault="0059750E" w:rsidP="0059750E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 xml:space="preserve">Proactive detection and response dramatically </w:t>
      </w:r>
      <w:proofErr w:type="gramStart"/>
      <w:r w:rsidRPr="0059750E">
        <w:rPr>
          <w:rFonts w:ascii="Aptos Display" w:hAnsi="Aptos Display"/>
        </w:rPr>
        <w:t>reduces</w:t>
      </w:r>
      <w:proofErr w:type="gramEnd"/>
      <w:r w:rsidRPr="0059750E">
        <w:rPr>
          <w:rFonts w:ascii="Aptos Display" w:hAnsi="Aptos Display"/>
        </w:rPr>
        <w:t xml:space="preserve"> breach impact and downtime</w:t>
      </w:r>
    </w:p>
    <w:p w14:paraId="0210361E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 xml:space="preserve">BCS365 Managed Detection &amp; Response </w:t>
      </w:r>
      <w:r w:rsidRPr="0059750E">
        <w:rPr>
          <w:rFonts w:ascii="Aptos Display" w:hAnsi="Aptos Display"/>
          <w:b w:val="0"/>
          <w:bCs w:val="0"/>
          <w:color w:val="FF3000"/>
        </w:rPr>
        <w:t>(MDR)</w:t>
      </w:r>
    </w:p>
    <w:p w14:paraId="42F8DFF6" w14:textId="77777777" w:rsidR="0059750E" w:rsidRPr="0059750E" w:rsidRDefault="0059750E" w:rsidP="0059750E">
      <w:pPr>
        <w:rPr>
          <w:rFonts w:ascii="Aptos Display" w:hAnsi="Aptos Display"/>
        </w:rPr>
      </w:pPr>
      <w:r w:rsidRPr="0059750E">
        <w:rPr>
          <w:rFonts w:ascii="Aptos Display" w:hAnsi="Aptos Display"/>
        </w:rPr>
        <w:t>BCS365 delivers AI-driven Managed Detection &amp; Response (MDR) services that continuously monitor, detect, and respond to cyber threats across endpoints, networks, and cloud environments. Our MDR service combines advanced security technology with a 24/7/365 U.S.-based Security Operations Center to stop threats before they disrupt business operations.</w:t>
      </w:r>
    </w:p>
    <w:p w14:paraId="60B4A9A6" w14:textId="77777777" w:rsidR="0059750E" w:rsidRPr="0059750E" w:rsidRDefault="0059750E" w:rsidP="0059750E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24/7/365 monitoring by a dedicated Security Operations Center (SOC)</w:t>
      </w:r>
    </w:p>
    <w:p w14:paraId="0DDD2883" w14:textId="77777777" w:rsidR="0059750E" w:rsidRPr="0059750E" w:rsidRDefault="0059750E" w:rsidP="0059750E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Endpoint Detection &amp; Response (EDR) with behavioral analytics</w:t>
      </w:r>
    </w:p>
    <w:p w14:paraId="7867EFF2" w14:textId="77777777" w:rsidR="0059750E" w:rsidRPr="0059750E" w:rsidRDefault="0059750E" w:rsidP="0059750E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AI-driven threat detection and real-time alerting</w:t>
      </w:r>
    </w:p>
    <w:p w14:paraId="466D0642" w14:textId="77777777" w:rsidR="0059750E" w:rsidRPr="0059750E" w:rsidRDefault="0059750E" w:rsidP="0059750E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Active threat hunting to identify hidden or persistent threats</w:t>
      </w:r>
    </w:p>
    <w:p w14:paraId="5F95E8D1" w14:textId="77777777" w:rsidR="0059750E" w:rsidRPr="0059750E" w:rsidRDefault="0059750E" w:rsidP="0059750E">
      <w:pPr>
        <w:pStyle w:val="ListBullet"/>
        <w:numPr>
          <w:ilvl w:val="0"/>
          <w:numId w:val="25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Rapid containment and incident response workflows</w:t>
      </w:r>
    </w:p>
    <w:p w14:paraId="151187C6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What’s Included with BCS365 MDR</w:t>
      </w:r>
    </w:p>
    <w:p w14:paraId="5C927558" w14:textId="77777777" w:rsidR="0059750E" w:rsidRPr="0059750E" w:rsidRDefault="0059750E" w:rsidP="0059750E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Ransomware, malware, and zero-day exploit detection</w:t>
      </w:r>
    </w:p>
    <w:p w14:paraId="79AC9691" w14:textId="77777777" w:rsidR="0059750E" w:rsidRPr="0059750E" w:rsidRDefault="0059750E" w:rsidP="0059750E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Suspicious process and behavior monitoring</w:t>
      </w:r>
    </w:p>
    <w:p w14:paraId="6D194491" w14:textId="77777777" w:rsidR="0059750E" w:rsidRPr="0059750E" w:rsidRDefault="0059750E" w:rsidP="0059750E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Threat intelligence and correlation across environments</w:t>
      </w:r>
    </w:p>
    <w:p w14:paraId="7D684D4F" w14:textId="77777777" w:rsidR="0059750E" w:rsidRPr="0059750E" w:rsidRDefault="0059750E" w:rsidP="0059750E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Remote device containment and response actions</w:t>
      </w:r>
    </w:p>
    <w:p w14:paraId="256AB96D" w14:textId="77777777" w:rsidR="0059750E" w:rsidRPr="0059750E" w:rsidRDefault="0059750E" w:rsidP="0059750E">
      <w:pPr>
        <w:pStyle w:val="ListBullet"/>
        <w:numPr>
          <w:ilvl w:val="0"/>
          <w:numId w:val="26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Detailed incident reporting and executive-ready dashboards</w:t>
      </w:r>
    </w:p>
    <w:p w14:paraId="0A584977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Built for Compliance and Cyber Insurance Readiness</w:t>
      </w:r>
    </w:p>
    <w:p w14:paraId="78071CEA" w14:textId="77777777" w:rsidR="0059750E" w:rsidRPr="0059750E" w:rsidRDefault="0059750E" w:rsidP="0059750E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ISO/IEC 27001:2022 certified security operations</w:t>
      </w:r>
    </w:p>
    <w:p w14:paraId="43ED302C" w14:textId="77777777" w:rsidR="0059750E" w:rsidRPr="0059750E" w:rsidRDefault="0059750E" w:rsidP="0059750E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Supports HIPAA, SOC 2, PCI-DSS, GDPR, and regulatory requirements</w:t>
      </w:r>
    </w:p>
    <w:p w14:paraId="7D5DE8DD" w14:textId="77777777" w:rsidR="0059750E" w:rsidRPr="0059750E" w:rsidRDefault="0059750E" w:rsidP="0059750E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Audit-ready logs, alerts, and response documentation</w:t>
      </w:r>
    </w:p>
    <w:p w14:paraId="16BB612C" w14:textId="77777777" w:rsidR="0059750E" w:rsidRPr="0059750E" w:rsidRDefault="0059750E" w:rsidP="0059750E">
      <w:pPr>
        <w:pStyle w:val="ListBullet"/>
        <w:numPr>
          <w:ilvl w:val="0"/>
          <w:numId w:val="27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Demonstrates continuous monitoring required by cyber insurance providers</w:t>
      </w:r>
    </w:p>
    <w:p w14:paraId="00F92656" w14:textId="77777777" w:rsidR="0059750E" w:rsidRDefault="0059750E" w:rsidP="0059750E">
      <w:pPr>
        <w:pStyle w:val="Heading1"/>
        <w:spacing w:after="0"/>
        <w:rPr>
          <w:rFonts w:ascii="Aptos Display" w:hAnsi="Aptos Display"/>
        </w:rPr>
      </w:pPr>
    </w:p>
    <w:p w14:paraId="2D8B8444" w14:textId="12CDEC91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lastRenderedPageBreak/>
        <w:t>Ideal AVANT Attach Scenarios</w:t>
      </w:r>
    </w:p>
    <w:p w14:paraId="5C5DEFC8" w14:textId="77777777" w:rsidR="0059750E" w:rsidRPr="0059750E" w:rsidRDefault="0059750E" w:rsidP="0059750E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proofErr w:type="spellStart"/>
      <w:r w:rsidRPr="0059750E">
        <w:rPr>
          <w:rFonts w:ascii="Aptos Display" w:hAnsi="Aptos Display"/>
        </w:rPr>
        <w:t>UCaaS</w:t>
      </w:r>
      <w:proofErr w:type="spellEnd"/>
      <w:r w:rsidRPr="0059750E">
        <w:rPr>
          <w:rFonts w:ascii="Aptos Display" w:hAnsi="Aptos Display"/>
        </w:rPr>
        <w:t xml:space="preserve">, </w:t>
      </w:r>
      <w:proofErr w:type="spellStart"/>
      <w:r w:rsidRPr="0059750E">
        <w:rPr>
          <w:rFonts w:ascii="Aptos Display" w:hAnsi="Aptos Display"/>
        </w:rPr>
        <w:t>CCaaS</w:t>
      </w:r>
      <w:proofErr w:type="spellEnd"/>
      <w:r w:rsidRPr="0059750E">
        <w:rPr>
          <w:rFonts w:ascii="Aptos Display" w:hAnsi="Aptos Display"/>
        </w:rPr>
        <w:t xml:space="preserve">, or cloud deals where customers </w:t>
      </w:r>
      <w:proofErr w:type="gramStart"/>
      <w:r w:rsidRPr="0059750E">
        <w:rPr>
          <w:rFonts w:ascii="Aptos Display" w:hAnsi="Aptos Display"/>
        </w:rPr>
        <w:t>ask</w:t>
      </w:r>
      <w:proofErr w:type="gramEnd"/>
      <w:r w:rsidRPr="0059750E">
        <w:rPr>
          <w:rFonts w:ascii="Aptos Display" w:hAnsi="Aptos Display"/>
        </w:rPr>
        <w:t xml:space="preserve"> “Who monitors security 24/7?”</w:t>
      </w:r>
    </w:p>
    <w:p w14:paraId="1AC4A5A6" w14:textId="77777777" w:rsidR="0059750E" w:rsidRPr="0059750E" w:rsidRDefault="0059750E" w:rsidP="0059750E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Connectivity or SD-WAN deals that expand the attack surface</w:t>
      </w:r>
    </w:p>
    <w:p w14:paraId="05138A8E" w14:textId="77777777" w:rsidR="0059750E" w:rsidRPr="0059750E" w:rsidRDefault="0059750E" w:rsidP="0059750E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Mid-market and enterprise customers without internal SOC capabilities</w:t>
      </w:r>
    </w:p>
    <w:p w14:paraId="59B7145E" w14:textId="77777777" w:rsidR="0059750E" w:rsidRPr="0059750E" w:rsidRDefault="0059750E" w:rsidP="0059750E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Compliance- or insurance-driven security requirements</w:t>
      </w:r>
    </w:p>
    <w:p w14:paraId="5F954F7C" w14:textId="77777777" w:rsidR="0059750E" w:rsidRPr="0059750E" w:rsidRDefault="0059750E" w:rsidP="0059750E">
      <w:pPr>
        <w:pStyle w:val="ListBullet"/>
        <w:numPr>
          <w:ilvl w:val="0"/>
          <w:numId w:val="28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Security-led deals that need rapid response credibility</w:t>
      </w:r>
    </w:p>
    <w:p w14:paraId="7E17331E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Advisor-First Engagement Model</w:t>
      </w:r>
    </w:p>
    <w:p w14:paraId="5B10F564" w14:textId="77777777" w:rsidR="0059750E" w:rsidRPr="0059750E" w:rsidRDefault="0059750E" w:rsidP="0059750E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Advisor retains full ownership of the customer relationship</w:t>
      </w:r>
    </w:p>
    <w:p w14:paraId="34A2E1F5" w14:textId="77777777" w:rsidR="0059750E" w:rsidRPr="0059750E" w:rsidRDefault="0059750E" w:rsidP="0059750E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BCS365 does not market to or sell directly into AVANT partner accounts</w:t>
      </w:r>
    </w:p>
    <w:p w14:paraId="67C34BAB" w14:textId="77777777" w:rsidR="0059750E" w:rsidRPr="0059750E" w:rsidRDefault="0059750E" w:rsidP="0059750E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White-label or co-sell engagement, advisor choice</w:t>
      </w:r>
    </w:p>
    <w:p w14:paraId="4A3ACCE4" w14:textId="77777777" w:rsidR="0059750E" w:rsidRPr="0059750E" w:rsidRDefault="0059750E" w:rsidP="0059750E">
      <w:pPr>
        <w:pStyle w:val="ListBullet"/>
        <w:numPr>
          <w:ilvl w:val="0"/>
          <w:numId w:val="29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BCS365 operates as your behind-the-scenes security team</w:t>
      </w:r>
    </w:p>
    <w:p w14:paraId="4CD324A3" w14:textId="77777777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Why AVANT Partners Choose BCS365 MDR</w:t>
      </w:r>
    </w:p>
    <w:p w14:paraId="5B316AF0" w14:textId="77777777" w:rsidR="0059750E" w:rsidRPr="0059750E" w:rsidRDefault="0059750E" w:rsidP="0059750E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Accelerates deal closure by eliminating security gaps</w:t>
      </w:r>
    </w:p>
    <w:p w14:paraId="11E05E58" w14:textId="77777777" w:rsidR="0059750E" w:rsidRPr="0059750E" w:rsidRDefault="0059750E" w:rsidP="0059750E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Increases monthly recurring revenue with managed security services</w:t>
      </w:r>
    </w:p>
    <w:p w14:paraId="679011AF" w14:textId="77777777" w:rsidR="0059750E" w:rsidRPr="0059750E" w:rsidRDefault="0059750E" w:rsidP="0059750E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proofErr w:type="gramStart"/>
      <w:r w:rsidRPr="0059750E">
        <w:rPr>
          <w:rFonts w:ascii="Aptos Display" w:hAnsi="Aptos Display"/>
        </w:rPr>
        <w:t>Reduces</w:t>
      </w:r>
      <w:proofErr w:type="gramEnd"/>
      <w:r w:rsidRPr="0059750E">
        <w:rPr>
          <w:rFonts w:ascii="Aptos Display" w:hAnsi="Aptos Display"/>
        </w:rPr>
        <w:t xml:space="preserve"> customer churn through proactive protection</w:t>
      </w:r>
    </w:p>
    <w:p w14:paraId="1D035DDD" w14:textId="77777777" w:rsidR="0059750E" w:rsidRPr="0059750E" w:rsidRDefault="0059750E" w:rsidP="0059750E">
      <w:pPr>
        <w:pStyle w:val="ListBullet"/>
        <w:numPr>
          <w:ilvl w:val="0"/>
          <w:numId w:val="30"/>
        </w:numPr>
        <w:rPr>
          <w:rFonts w:ascii="Aptos Display" w:hAnsi="Aptos Display"/>
        </w:rPr>
      </w:pPr>
      <w:r w:rsidRPr="0059750E">
        <w:rPr>
          <w:rFonts w:ascii="Aptos Display" w:hAnsi="Aptos Display"/>
        </w:rPr>
        <w:t>Single trusted partner for MDR, IT, cloud, and physical security</w:t>
      </w:r>
    </w:p>
    <w:p w14:paraId="2534A15B" w14:textId="7B8F456B" w:rsidR="0059750E" w:rsidRPr="0059750E" w:rsidRDefault="0059750E" w:rsidP="0059750E">
      <w:pPr>
        <w:pStyle w:val="Heading1"/>
        <w:spacing w:after="0"/>
        <w:rPr>
          <w:rFonts w:ascii="Aptos Display" w:hAnsi="Aptos Display"/>
          <w:color w:val="FF3000"/>
        </w:rPr>
      </w:pPr>
      <w:r w:rsidRPr="0059750E">
        <w:rPr>
          <w:rFonts w:ascii="Aptos Display" w:hAnsi="Aptos Display"/>
          <w:color w:val="FF3000"/>
        </w:rPr>
        <w:t>Next Steps</w:t>
      </w:r>
    </w:p>
    <w:p w14:paraId="6F1EF121" w14:textId="77777777" w:rsidR="0059750E" w:rsidRPr="0059750E" w:rsidRDefault="0059750E" w:rsidP="0059750E">
      <w:pPr>
        <w:rPr>
          <w:rFonts w:ascii="Aptos Display" w:hAnsi="Aptos Display"/>
        </w:rPr>
      </w:pPr>
      <w:r w:rsidRPr="0059750E">
        <w:rPr>
          <w:rFonts w:ascii="Aptos Display" w:hAnsi="Aptos Display"/>
        </w:rPr>
        <w:t>Register a deal with BCS365 through AVANT to scope MDR requirements and attach a 24/7 security operations model that protects your customer—and your reputation.</w:t>
      </w:r>
    </w:p>
    <w:p w14:paraId="6C8B08FD" w14:textId="1AD4C1C0" w:rsidR="00ED6AC8" w:rsidRPr="0059750E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59750E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59A1" w14:textId="77777777" w:rsidR="0056413A" w:rsidRDefault="0056413A" w:rsidP="00644AB4">
      <w:pPr>
        <w:spacing w:after="0" w:line="240" w:lineRule="auto"/>
      </w:pPr>
      <w:r>
        <w:separator/>
      </w:r>
    </w:p>
  </w:endnote>
  <w:endnote w:type="continuationSeparator" w:id="0">
    <w:p w14:paraId="06738D69" w14:textId="77777777" w:rsidR="0056413A" w:rsidRDefault="0056413A" w:rsidP="00644AB4">
      <w:pPr>
        <w:spacing w:after="0" w:line="240" w:lineRule="auto"/>
      </w:pPr>
      <w:r>
        <w:continuationSeparator/>
      </w:r>
    </w:p>
  </w:endnote>
  <w:endnote w:type="continuationNotice" w:id="1">
    <w:p w14:paraId="42A86C32" w14:textId="77777777" w:rsidR="0056413A" w:rsidRDefault="00564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6C07C943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850AD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7850AD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MDR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6C07C943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7850AD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7850AD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MDR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C946" w14:textId="77777777" w:rsidR="0056413A" w:rsidRDefault="0056413A" w:rsidP="00644AB4">
      <w:pPr>
        <w:spacing w:after="0" w:line="240" w:lineRule="auto"/>
      </w:pPr>
      <w:r>
        <w:separator/>
      </w:r>
    </w:p>
  </w:footnote>
  <w:footnote w:type="continuationSeparator" w:id="0">
    <w:p w14:paraId="51BA7164" w14:textId="77777777" w:rsidR="0056413A" w:rsidRDefault="0056413A" w:rsidP="00644AB4">
      <w:pPr>
        <w:spacing w:after="0" w:line="240" w:lineRule="auto"/>
      </w:pPr>
      <w:r>
        <w:continuationSeparator/>
      </w:r>
    </w:p>
  </w:footnote>
  <w:footnote w:type="continuationNotice" w:id="1">
    <w:p w14:paraId="37E301DA" w14:textId="77777777" w:rsidR="0056413A" w:rsidRDefault="00564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F68A6"/>
    <w:multiLevelType w:val="hybridMultilevel"/>
    <w:tmpl w:val="0BC26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A7C3E"/>
    <w:multiLevelType w:val="hybridMultilevel"/>
    <w:tmpl w:val="6074AF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77BB9"/>
    <w:multiLevelType w:val="hybridMultilevel"/>
    <w:tmpl w:val="9864A6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03B94"/>
    <w:multiLevelType w:val="hybridMultilevel"/>
    <w:tmpl w:val="BCC2F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B21BD"/>
    <w:multiLevelType w:val="hybridMultilevel"/>
    <w:tmpl w:val="F9DAA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05C22"/>
    <w:multiLevelType w:val="hybridMultilevel"/>
    <w:tmpl w:val="84C4D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68472A"/>
    <w:multiLevelType w:val="hybridMultilevel"/>
    <w:tmpl w:val="CC289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6"/>
  </w:num>
  <w:num w:numId="3" w16cid:durableId="1566063124">
    <w:abstractNumId w:val="18"/>
  </w:num>
  <w:num w:numId="4" w16cid:durableId="958532052">
    <w:abstractNumId w:val="12"/>
  </w:num>
  <w:num w:numId="5" w16cid:durableId="1317491603">
    <w:abstractNumId w:val="23"/>
  </w:num>
  <w:num w:numId="6" w16cid:durableId="1117258763">
    <w:abstractNumId w:val="19"/>
  </w:num>
  <w:num w:numId="7" w16cid:durableId="567155146">
    <w:abstractNumId w:val="8"/>
  </w:num>
  <w:num w:numId="8" w16cid:durableId="1656181461">
    <w:abstractNumId w:val="25"/>
  </w:num>
  <w:num w:numId="9" w16cid:durableId="1411274384">
    <w:abstractNumId w:val="1"/>
  </w:num>
  <w:num w:numId="10" w16cid:durableId="946237878">
    <w:abstractNumId w:val="5"/>
  </w:num>
  <w:num w:numId="11" w16cid:durableId="844714069">
    <w:abstractNumId w:val="4"/>
  </w:num>
  <w:num w:numId="12" w16cid:durableId="759135908">
    <w:abstractNumId w:val="10"/>
  </w:num>
  <w:num w:numId="13" w16cid:durableId="58554401">
    <w:abstractNumId w:val="22"/>
  </w:num>
  <w:num w:numId="14" w16cid:durableId="884096600">
    <w:abstractNumId w:val="24"/>
  </w:num>
  <w:num w:numId="15" w16cid:durableId="1412241823">
    <w:abstractNumId w:val="6"/>
  </w:num>
  <w:num w:numId="16" w16cid:durableId="604849739">
    <w:abstractNumId w:val="27"/>
  </w:num>
  <w:num w:numId="17" w16cid:durableId="1356035259">
    <w:abstractNumId w:val="29"/>
  </w:num>
  <w:num w:numId="18" w16cid:durableId="1939678116">
    <w:abstractNumId w:val="28"/>
  </w:num>
  <w:num w:numId="19" w16cid:durableId="2022127147">
    <w:abstractNumId w:val="17"/>
  </w:num>
  <w:num w:numId="20" w16cid:durableId="584848230">
    <w:abstractNumId w:val="21"/>
  </w:num>
  <w:num w:numId="21" w16cid:durableId="890581558">
    <w:abstractNumId w:val="26"/>
  </w:num>
  <w:num w:numId="22" w16cid:durableId="1961716870">
    <w:abstractNumId w:val="7"/>
  </w:num>
  <w:num w:numId="23" w16cid:durableId="1617908765">
    <w:abstractNumId w:val="14"/>
  </w:num>
  <w:num w:numId="24" w16cid:durableId="1885096758">
    <w:abstractNumId w:val="9"/>
  </w:num>
  <w:num w:numId="25" w16cid:durableId="2050299705">
    <w:abstractNumId w:val="2"/>
  </w:num>
  <w:num w:numId="26" w16cid:durableId="855271058">
    <w:abstractNumId w:val="15"/>
  </w:num>
  <w:num w:numId="27" w16cid:durableId="1498423139">
    <w:abstractNumId w:val="20"/>
  </w:num>
  <w:num w:numId="28" w16cid:durableId="230310790">
    <w:abstractNumId w:val="13"/>
  </w:num>
  <w:num w:numId="29" w16cid:durableId="1348558707">
    <w:abstractNumId w:val="3"/>
  </w:num>
  <w:num w:numId="30" w16cid:durableId="2092651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850AD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4A1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2438</Characters>
  <Application>Microsoft Office Word</Application>
  <DocSecurity>0</DocSecurity>
  <Lines>50</Lines>
  <Paragraphs>43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6</cp:revision>
  <cp:lastPrinted>2026-01-28T20:01:00Z</cp:lastPrinted>
  <dcterms:created xsi:type="dcterms:W3CDTF">2026-02-23T22:18:00Z</dcterms:created>
  <dcterms:modified xsi:type="dcterms:W3CDTF">2026-02-24T15:32:00Z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