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7" w:rightFromText="187" w:vertAnchor="page" w:horzAnchor="margin" w:tblpX="-180" w:tblpY="1081"/>
        <w:tblOverlap w:val="never"/>
        <w:tblW w:w="99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84"/>
      </w:tblGrid>
      <w:tr w:rsidR="00545C67" w:rsidRPr="000F64EB" w14:paraId="46EBE068" w14:textId="77777777" w:rsidTr="00591C5F">
        <w:trPr>
          <w:trHeight w:val="1360"/>
        </w:trPr>
        <w:tc>
          <w:tcPr>
            <w:tcW w:w="9984" w:type="dxa"/>
          </w:tcPr>
          <w:p w14:paraId="3F5BFC53" w14:textId="29F64D29" w:rsidR="004600AF" w:rsidRPr="000C40C5" w:rsidRDefault="00D804D1" w:rsidP="006519E3">
            <w:pPr>
              <w:rPr>
                <w:rFonts w:ascii="Aptos Display" w:hAnsi="Aptos Display" w:cs="Calibri"/>
                <w:b/>
                <w:bCs/>
                <w:sz w:val="52"/>
                <w:szCs w:val="52"/>
              </w:rPr>
            </w:pPr>
            <w:r w:rsidRPr="00940CD5">
              <w:rPr>
                <w:rFonts w:ascii="Aptos Display" w:hAnsi="Aptos Display" w:cs="Calibri"/>
                <w:color w:val="808080" w:themeColor="background1" w:themeShade="80"/>
                <w:sz w:val="32"/>
                <w:szCs w:val="32"/>
              </w:rPr>
              <w:t>VERSION: FEBRUARY 2026</w:t>
            </w:r>
            <w:r w:rsidR="00545C67" w:rsidRPr="002E7B6E">
              <w:rPr>
                <w:rFonts w:ascii="Aptos Display" w:hAnsi="Aptos Display" w:cs="Calibri"/>
                <w:b/>
                <w:bCs/>
                <w:sz w:val="52"/>
                <w:szCs w:val="52"/>
              </w:rPr>
              <w:br/>
            </w:r>
            <w:r w:rsidR="00591C5F">
              <w:rPr>
                <w:rFonts w:ascii="Aptos Display" w:hAnsi="Aptos Display" w:cs="Calibri"/>
                <w:b/>
                <w:bCs/>
                <w:sz w:val="48"/>
                <w:szCs w:val="48"/>
              </w:rPr>
              <w:t>Life Sciences IT &amp; Cybersecurity Expertise</w:t>
            </w:r>
          </w:p>
        </w:tc>
      </w:tr>
    </w:tbl>
    <w:p w14:paraId="3F5BE322" w14:textId="5B19E852" w:rsidR="00DE3C13" w:rsidRPr="00591C5F" w:rsidRDefault="00940CD5" w:rsidP="00DE3C13">
      <w:r w:rsidRPr="00940CD5">
        <w:rPr>
          <w:noProof/>
          <w:color w:val="FF3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A5E1C0" wp14:editId="31A7A0F0">
                <wp:simplePos x="0" y="0"/>
                <wp:positionH relativeFrom="column">
                  <wp:posOffset>-1657350</wp:posOffset>
                </wp:positionH>
                <wp:positionV relativeFrom="paragraph">
                  <wp:posOffset>-285750</wp:posOffset>
                </wp:positionV>
                <wp:extent cx="1485900" cy="638175"/>
                <wp:effectExtent l="0" t="0" r="0" b="9525"/>
                <wp:wrapNone/>
                <wp:docPr id="2" name="Arrow: Pentago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638175"/>
                        </a:xfrm>
                        <a:prstGeom prst="homePlate">
                          <a:avLst/>
                        </a:prstGeom>
                        <a:solidFill>
                          <a:srgbClr val="FF3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D6257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2" o:spid="_x0000_s1026" type="#_x0000_t15" style="position:absolute;margin-left:-130.5pt;margin-top:-22.5pt;width:117pt;height:5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" adj="16962" fillcolor="#ff3000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C1A397A" wp14:editId="78856CB0">
                <wp:simplePos x="0" y="0"/>
                <wp:positionH relativeFrom="page">
                  <wp:posOffset>-809625</wp:posOffset>
                </wp:positionH>
                <wp:positionV relativeFrom="paragraph">
                  <wp:posOffset>-285750</wp:posOffset>
                </wp:positionV>
                <wp:extent cx="1485900" cy="638175"/>
                <wp:effectExtent l="0" t="0" r="0" b="9525"/>
                <wp:wrapNone/>
                <wp:docPr id="3" name="Arrow: Pentag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638175"/>
                        </a:xfrm>
                        <a:prstGeom prst="homePlate">
                          <a:avLst/>
                        </a:prstGeom>
                        <a:solidFill>
                          <a:srgbClr val="0458E7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79A87" id="Arrow: Pentagon 3" o:spid="_x0000_s1026" type="#_x0000_t15" style="position:absolute;margin-left:-63.75pt;margin-top:-22.5pt;width:117pt;height:50.2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" adj="16962" fillcolor="#0458e7" stroked="f" strokeweight="1pt">
                <w10:wrap anchorx="page"/>
              </v:shape>
            </w:pict>
          </mc:Fallback>
        </mc:AlternateContent>
      </w:r>
      <w:r w:rsidR="00EA171D">
        <w:rPr>
          <w:noProof/>
        </w:rPr>
        <w:drawing>
          <wp:anchor distT="0" distB="0" distL="114300" distR="114300" simplePos="0" relativeHeight="251649536" behindDoc="1" locked="0" layoutInCell="1" allowOverlap="1" wp14:anchorId="25A93521" wp14:editId="2AC1E418">
            <wp:simplePos x="0" y="0"/>
            <wp:positionH relativeFrom="column">
              <wp:posOffset>5067300</wp:posOffset>
            </wp:positionH>
            <wp:positionV relativeFrom="page">
              <wp:posOffset>280035</wp:posOffset>
            </wp:positionV>
            <wp:extent cx="1574165" cy="327025"/>
            <wp:effectExtent l="0" t="0" r="6985" b="0"/>
            <wp:wrapTight wrapText="bothSides">
              <wp:wrapPolygon edited="0">
                <wp:start x="523" y="0"/>
                <wp:lineTo x="0" y="3775"/>
                <wp:lineTo x="0" y="16357"/>
                <wp:lineTo x="523" y="20132"/>
                <wp:lineTo x="3660" y="20132"/>
                <wp:lineTo x="21434" y="20132"/>
                <wp:lineTo x="21434" y="0"/>
                <wp:lineTo x="3660" y="0"/>
                <wp:lineTo x="523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165" cy="32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1C5F">
        <w:rPr>
          <w:rFonts w:ascii="Aptos Display" w:hAnsi="Aptos Display"/>
          <w:i/>
          <w:sz w:val="24"/>
        </w:rPr>
        <w:t>Purpose-Built Technology Support for Life Sciences Organizations | Powered by BCS365</w:t>
      </w:r>
    </w:p>
    <w:p w14:paraId="074106EB" w14:textId="77777777" w:rsidR="0019459A" w:rsidRPr="00752EB9" w:rsidRDefault="0019459A" w:rsidP="0019459A">
      <w:pPr>
        <w:pStyle w:val="Heading1"/>
        <w:spacing w:after="0"/>
        <w:rPr>
          <w:rFonts w:ascii="Aptos Display" w:hAnsi="Aptos Display"/>
          <w:color w:val="FF3000"/>
        </w:rPr>
      </w:pPr>
      <w:r w:rsidRPr="00752EB9">
        <w:rPr>
          <w:rFonts w:ascii="Aptos Display" w:hAnsi="Aptos Display"/>
          <w:color w:val="FF3000"/>
        </w:rPr>
        <w:t>Why Life Sciences Organizations Choose BCS365</w:t>
      </w:r>
    </w:p>
    <w:p w14:paraId="64B31493" w14:textId="77777777" w:rsidR="0019459A" w:rsidRPr="00752EB9" w:rsidRDefault="0019459A" w:rsidP="0019459A">
      <w:pPr>
        <w:pStyle w:val="ListBullet"/>
        <w:numPr>
          <w:ilvl w:val="0"/>
          <w:numId w:val="12"/>
        </w:numPr>
        <w:rPr>
          <w:rFonts w:ascii="Aptos Display" w:hAnsi="Aptos Display"/>
        </w:rPr>
      </w:pPr>
      <w:r w:rsidRPr="00752EB9">
        <w:rPr>
          <w:rFonts w:ascii="Aptos Display" w:hAnsi="Aptos Display"/>
        </w:rPr>
        <w:t>Life sciences organizations face elevated cyber risk, regulatory pressure, and IP protection challenges.</w:t>
      </w:r>
    </w:p>
    <w:p w14:paraId="452935E0" w14:textId="77777777" w:rsidR="0019459A" w:rsidRPr="00752EB9" w:rsidRDefault="0019459A" w:rsidP="0019459A">
      <w:pPr>
        <w:pStyle w:val="ListBullet"/>
        <w:numPr>
          <w:ilvl w:val="0"/>
          <w:numId w:val="12"/>
        </w:numPr>
        <w:rPr>
          <w:rFonts w:ascii="Aptos Display" w:hAnsi="Aptos Display"/>
        </w:rPr>
      </w:pPr>
      <w:r w:rsidRPr="00752EB9">
        <w:rPr>
          <w:rFonts w:ascii="Aptos Display" w:hAnsi="Aptos Display"/>
        </w:rPr>
        <w:t>Digital transformation (cloud, AI, IoMT) expands the attack surface and operational complexity.</w:t>
      </w:r>
    </w:p>
    <w:p w14:paraId="5904B07C" w14:textId="77777777" w:rsidR="0019459A" w:rsidRPr="00752EB9" w:rsidRDefault="0019459A" w:rsidP="0019459A">
      <w:pPr>
        <w:pStyle w:val="ListBullet"/>
        <w:numPr>
          <w:ilvl w:val="0"/>
          <w:numId w:val="12"/>
        </w:numPr>
        <w:rPr>
          <w:rFonts w:ascii="Aptos Display" w:hAnsi="Aptos Display"/>
        </w:rPr>
      </w:pPr>
      <w:r w:rsidRPr="00752EB9">
        <w:rPr>
          <w:rFonts w:ascii="Aptos Display" w:hAnsi="Aptos Display"/>
        </w:rPr>
        <w:t>BCS365 provides industry-aware IT and security services that protect research, patient data, and operations.</w:t>
      </w:r>
    </w:p>
    <w:p w14:paraId="23F36448" w14:textId="77777777" w:rsidR="0019459A" w:rsidRPr="00752EB9" w:rsidRDefault="0019459A" w:rsidP="0019459A">
      <w:pPr>
        <w:pStyle w:val="ListBullet"/>
        <w:numPr>
          <w:ilvl w:val="0"/>
          <w:numId w:val="12"/>
        </w:numPr>
        <w:rPr>
          <w:rFonts w:ascii="Aptos Display" w:hAnsi="Aptos Display"/>
        </w:rPr>
      </w:pPr>
      <w:r w:rsidRPr="00752EB9">
        <w:rPr>
          <w:rFonts w:ascii="Aptos Display" w:hAnsi="Aptos Display"/>
        </w:rPr>
        <w:t>Our team understands the pace and compliance requirements unique to life sciences environments.</w:t>
      </w:r>
    </w:p>
    <w:p w14:paraId="4B5AF2D3" w14:textId="77777777" w:rsidR="0019459A" w:rsidRPr="00752EB9" w:rsidRDefault="0019459A" w:rsidP="0019459A">
      <w:pPr>
        <w:pStyle w:val="Heading1"/>
        <w:spacing w:after="0"/>
        <w:rPr>
          <w:rFonts w:ascii="Aptos Display" w:hAnsi="Aptos Display"/>
          <w:color w:val="FF3000"/>
        </w:rPr>
      </w:pPr>
      <w:r w:rsidRPr="00752EB9">
        <w:rPr>
          <w:rFonts w:ascii="Aptos Display" w:hAnsi="Aptos Display"/>
          <w:color w:val="FF3000"/>
        </w:rPr>
        <w:t>Life Sciences Environments We Support</w:t>
      </w:r>
    </w:p>
    <w:p w14:paraId="7B226C3B" w14:textId="77777777" w:rsidR="0019459A" w:rsidRPr="00752EB9" w:rsidRDefault="0019459A" w:rsidP="0019459A">
      <w:pPr>
        <w:pStyle w:val="ListBullet"/>
        <w:numPr>
          <w:ilvl w:val="0"/>
          <w:numId w:val="11"/>
        </w:numPr>
        <w:rPr>
          <w:rFonts w:ascii="Aptos Display" w:hAnsi="Aptos Display"/>
        </w:rPr>
      </w:pPr>
      <w:r w:rsidRPr="00752EB9">
        <w:rPr>
          <w:rFonts w:ascii="Aptos Display" w:hAnsi="Aptos Display"/>
        </w:rPr>
        <w:t>Biotechnology and pharmaceutical companies</w:t>
      </w:r>
    </w:p>
    <w:p w14:paraId="729EFCA1" w14:textId="77777777" w:rsidR="0019459A" w:rsidRPr="00752EB9" w:rsidRDefault="0019459A" w:rsidP="0019459A">
      <w:pPr>
        <w:pStyle w:val="ListBullet"/>
        <w:numPr>
          <w:ilvl w:val="0"/>
          <w:numId w:val="11"/>
        </w:numPr>
        <w:rPr>
          <w:rFonts w:ascii="Aptos Display" w:hAnsi="Aptos Display"/>
        </w:rPr>
      </w:pPr>
      <w:r w:rsidRPr="00752EB9">
        <w:rPr>
          <w:rFonts w:ascii="Aptos Display" w:hAnsi="Aptos Display"/>
        </w:rPr>
        <w:t>Medical device manufacturers</w:t>
      </w:r>
    </w:p>
    <w:p w14:paraId="584EAD97" w14:textId="77777777" w:rsidR="0019459A" w:rsidRPr="00752EB9" w:rsidRDefault="0019459A" w:rsidP="0019459A">
      <w:pPr>
        <w:pStyle w:val="ListBullet"/>
        <w:numPr>
          <w:ilvl w:val="0"/>
          <w:numId w:val="11"/>
        </w:numPr>
        <w:rPr>
          <w:rFonts w:ascii="Aptos Display" w:hAnsi="Aptos Display"/>
        </w:rPr>
      </w:pPr>
      <w:r w:rsidRPr="00752EB9">
        <w:rPr>
          <w:rFonts w:ascii="Aptos Display" w:hAnsi="Aptos Display"/>
        </w:rPr>
        <w:t>Clinical research organizations (CROs)</w:t>
      </w:r>
    </w:p>
    <w:p w14:paraId="5D66527F" w14:textId="77777777" w:rsidR="0019459A" w:rsidRPr="00752EB9" w:rsidRDefault="0019459A" w:rsidP="0019459A">
      <w:pPr>
        <w:pStyle w:val="ListBullet"/>
        <w:numPr>
          <w:ilvl w:val="0"/>
          <w:numId w:val="11"/>
        </w:numPr>
        <w:rPr>
          <w:rFonts w:ascii="Aptos Display" w:hAnsi="Aptos Display"/>
        </w:rPr>
      </w:pPr>
      <w:r w:rsidRPr="00752EB9">
        <w:rPr>
          <w:rFonts w:ascii="Aptos Display" w:hAnsi="Aptos Display"/>
        </w:rPr>
        <w:t>Digital health and health</w:t>
      </w:r>
      <w:r w:rsidRPr="00752EB9">
        <w:rPr>
          <w:rFonts w:ascii="Cambria Math" w:hAnsi="Cambria Math" w:cs="Cambria Math"/>
        </w:rPr>
        <w:t>‑</w:t>
      </w:r>
      <w:r w:rsidRPr="00752EB9">
        <w:rPr>
          <w:rFonts w:ascii="Aptos Display" w:hAnsi="Aptos Display"/>
        </w:rPr>
        <w:t>tech providers</w:t>
      </w:r>
    </w:p>
    <w:p w14:paraId="3977A768" w14:textId="77777777" w:rsidR="0019459A" w:rsidRPr="00752EB9" w:rsidRDefault="0019459A" w:rsidP="0019459A">
      <w:pPr>
        <w:pStyle w:val="ListBullet"/>
        <w:numPr>
          <w:ilvl w:val="0"/>
          <w:numId w:val="11"/>
        </w:numPr>
        <w:rPr>
          <w:rFonts w:ascii="Aptos Display" w:hAnsi="Aptos Display"/>
        </w:rPr>
      </w:pPr>
      <w:r w:rsidRPr="00752EB9">
        <w:rPr>
          <w:rFonts w:ascii="Aptos Display" w:hAnsi="Aptos Display"/>
        </w:rPr>
        <w:t>Healthcare and laboratory operations</w:t>
      </w:r>
    </w:p>
    <w:p w14:paraId="3E5E0F62" w14:textId="77777777" w:rsidR="0019459A" w:rsidRPr="00752EB9" w:rsidRDefault="0019459A" w:rsidP="0019459A">
      <w:pPr>
        <w:pStyle w:val="Heading1"/>
        <w:spacing w:after="0"/>
        <w:rPr>
          <w:rFonts w:ascii="Aptos Display" w:hAnsi="Aptos Display"/>
          <w:color w:val="FF3000"/>
        </w:rPr>
      </w:pPr>
      <w:r w:rsidRPr="00752EB9">
        <w:rPr>
          <w:rFonts w:ascii="Aptos Display" w:hAnsi="Aptos Display"/>
          <w:color w:val="FF3000"/>
        </w:rPr>
        <w:t>Core Challenges We Help Solve</w:t>
      </w:r>
    </w:p>
    <w:p w14:paraId="3980EAD5" w14:textId="77777777" w:rsidR="0019459A" w:rsidRPr="00752EB9" w:rsidRDefault="0019459A" w:rsidP="0019459A">
      <w:pPr>
        <w:pStyle w:val="ListBullet"/>
        <w:numPr>
          <w:ilvl w:val="0"/>
          <w:numId w:val="13"/>
        </w:numPr>
        <w:rPr>
          <w:rFonts w:ascii="Aptos Display" w:hAnsi="Aptos Display"/>
        </w:rPr>
      </w:pPr>
      <w:r w:rsidRPr="00752EB9">
        <w:rPr>
          <w:rFonts w:ascii="Aptos Display" w:hAnsi="Aptos Display"/>
        </w:rPr>
        <w:t>Protection of intellectual property, research data, and clinical trial systems</w:t>
      </w:r>
    </w:p>
    <w:p w14:paraId="21BDCB1E" w14:textId="77777777" w:rsidR="0019459A" w:rsidRPr="00752EB9" w:rsidRDefault="0019459A" w:rsidP="0019459A">
      <w:pPr>
        <w:pStyle w:val="ListBullet"/>
        <w:numPr>
          <w:ilvl w:val="0"/>
          <w:numId w:val="13"/>
        </w:numPr>
        <w:rPr>
          <w:rFonts w:ascii="Aptos Display" w:hAnsi="Aptos Display"/>
        </w:rPr>
      </w:pPr>
      <w:r w:rsidRPr="00752EB9">
        <w:rPr>
          <w:rFonts w:ascii="Aptos Display" w:hAnsi="Aptos Display"/>
        </w:rPr>
        <w:t>HIPAA and data privacy compliance for patient and research data</w:t>
      </w:r>
    </w:p>
    <w:p w14:paraId="0925FA4B" w14:textId="77777777" w:rsidR="0019459A" w:rsidRPr="00752EB9" w:rsidRDefault="0019459A" w:rsidP="0019459A">
      <w:pPr>
        <w:pStyle w:val="ListBullet"/>
        <w:numPr>
          <w:ilvl w:val="0"/>
          <w:numId w:val="13"/>
        </w:numPr>
        <w:rPr>
          <w:rFonts w:ascii="Aptos Display" w:hAnsi="Aptos Display"/>
        </w:rPr>
      </w:pPr>
      <w:r w:rsidRPr="00752EB9">
        <w:rPr>
          <w:rFonts w:ascii="Aptos Display" w:hAnsi="Aptos Display"/>
        </w:rPr>
        <w:t>Ransomware, phishing, and insider</w:t>
      </w:r>
      <w:r w:rsidRPr="00752EB9">
        <w:rPr>
          <w:rFonts w:ascii="Cambria Math" w:hAnsi="Cambria Math" w:cs="Cambria Math"/>
        </w:rPr>
        <w:t>‑</w:t>
      </w:r>
      <w:r w:rsidRPr="00752EB9">
        <w:rPr>
          <w:rFonts w:ascii="Aptos Display" w:hAnsi="Aptos Display"/>
        </w:rPr>
        <w:t>driven threats</w:t>
      </w:r>
    </w:p>
    <w:p w14:paraId="10FFD229" w14:textId="77777777" w:rsidR="0019459A" w:rsidRPr="00752EB9" w:rsidRDefault="0019459A" w:rsidP="0019459A">
      <w:pPr>
        <w:pStyle w:val="ListBullet"/>
        <w:numPr>
          <w:ilvl w:val="0"/>
          <w:numId w:val="13"/>
        </w:numPr>
        <w:rPr>
          <w:rFonts w:ascii="Aptos Display" w:hAnsi="Aptos Display"/>
        </w:rPr>
      </w:pPr>
      <w:r w:rsidRPr="00752EB9">
        <w:rPr>
          <w:rFonts w:ascii="Aptos Display" w:hAnsi="Aptos Display"/>
        </w:rPr>
        <w:t>Secure collaboration across distributed research teams</w:t>
      </w:r>
    </w:p>
    <w:p w14:paraId="412E2A3D" w14:textId="77777777" w:rsidR="0019459A" w:rsidRPr="00752EB9" w:rsidRDefault="0019459A" w:rsidP="0019459A">
      <w:pPr>
        <w:pStyle w:val="ListBullet"/>
        <w:numPr>
          <w:ilvl w:val="0"/>
          <w:numId w:val="13"/>
        </w:numPr>
        <w:rPr>
          <w:rFonts w:ascii="Aptos Display" w:hAnsi="Aptos Display"/>
        </w:rPr>
      </w:pPr>
      <w:r w:rsidRPr="00752EB9">
        <w:rPr>
          <w:rFonts w:ascii="Aptos Display" w:hAnsi="Aptos Display"/>
        </w:rPr>
        <w:t>Scalable IT operations without disrupting innovation timelines</w:t>
      </w:r>
    </w:p>
    <w:p w14:paraId="23173A9B" w14:textId="77777777" w:rsidR="0019459A" w:rsidRPr="00752EB9" w:rsidRDefault="0019459A" w:rsidP="0019459A">
      <w:pPr>
        <w:pStyle w:val="Heading1"/>
        <w:spacing w:after="0"/>
        <w:rPr>
          <w:rFonts w:ascii="Aptos Display" w:hAnsi="Aptos Display"/>
          <w:color w:val="FF3000"/>
        </w:rPr>
      </w:pPr>
      <w:r w:rsidRPr="00752EB9">
        <w:rPr>
          <w:rFonts w:ascii="Aptos Display" w:hAnsi="Aptos Display"/>
          <w:color w:val="FF3000"/>
        </w:rPr>
        <w:t>BCS365 Solutions for Life Sciences</w:t>
      </w:r>
    </w:p>
    <w:p w14:paraId="4D301AFC" w14:textId="77777777" w:rsidR="0019459A" w:rsidRPr="00752EB9" w:rsidRDefault="0019459A" w:rsidP="0019459A">
      <w:pPr>
        <w:pStyle w:val="ListBullet"/>
        <w:numPr>
          <w:ilvl w:val="0"/>
          <w:numId w:val="14"/>
        </w:numPr>
        <w:rPr>
          <w:rFonts w:ascii="Aptos Display" w:hAnsi="Aptos Display"/>
        </w:rPr>
      </w:pPr>
      <w:r w:rsidRPr="00752EB9">
        <w:rPr>
          <w:rFonts w:ascii="Aptos Display" w:hAnsi="Aptos Display"/>
        </w:rPr>
        <w:t>Managed IT Services with 24/7/365 U.S.-based support</w:t>
      </w:r>
    </w:p>
    <w:p w14:paraId="498804BF" w14:textId="77777777" w:rsidR="0019459A" w:rsidRPr="00752EB9" w:rsidRDefault="0019459A" w:rsidP="0019459A">
      <w:pPr>
        <w:pStyle w:val="ListBullet"/>
        <w:numPr>
          <w:ilvl w:val="0"/>
          <w:numId w:val="14"/>
        </w:numPr>
        <w:rPr>
          <w:rFonts w:ascii="Aptos Display" w:hAnsi="Aptos Display"/>
        </w:rPr>
      </w:pPr>
      <w:r w:rsidRPr="00752EB9">
        <w:rPr>
          <w:rFonts w:ascii="Aptos Display" w:hAnsi="Aptos Display"/>
        </w:rPr>
        <w:t>Managed Detection &amp; Response (MDR) with continuous SOC monitoring</w:t>
      </w:r>
    </w:p>
    <w:p w14:paraId="022AED01" w14:textId="77777777" w:rsidR="0019459A" w:rsidRPr="00752EB9" w:rsidRDefault="0019459A" w:rsidP="0019459A">
      <w:pPr>
        <w:pStyle w:val="ListBullet"/>
        <w:numPr>
          <w:ilvl w:val="0"/>
          <w:numId w:val="14"/>
        </w:numPr>
        <w:rPr>
          <w:rFonts w:ascii="Aptos Display" w:hAnsi="Aptos Display"/>
        </w:rPr>
      </w:pPr>
      <w:r w:rsidRPr="00752EB9">
        <w:rPr>
          <w:rFonts w:ascii="Aptos Display" w:hAnsi="Aptos Display"/>
        </w:rPr>
        <w:t>Endpoint and Identity Security (EDR, EDLP, ITDR)</w:t>
      </w:r>
    </w:p>
    <w:p w14:paraId="43D2FC21" w14:textId="77777777" w:rsidR="0019459A" w:rsidRPr="00752EB9" w:rsidRDefault="0019459A" w:rsidP="0019459A">
      <w:pPr>
        <w:pStyle w:val="ListBullet"/>
        <w:numPr>
          <w:ilvl w:val="0"/>
          <w:numId w:val="14"/>
        </w:numPr>
        <w:rPr>
          <w:rFonts w:ascii="Aptos Display" w:hAnsi="Aptos Display"/>
        </w:rPr>
      </w:pPr>
      <w:r w:rsidRPr="00752EB9">
        <w:rPr>
          <w:rFonts w:ascii="Aptos Display" w:hAnsi="Aptos Display"/>
        </w:rPr>
        <w:t>Network Security, Zero Trust, and secure remote access</w:t>
      </w:r>
    </w:p>
    <w:p w14:paraId="101F63BF" w14:textId="77777777" w:rsidR="0019459A" w:rsidRPr="00752EB9" w:rsidRDefault="0019459A" w:rsidP="0019459A">
      <w:pPr>
        <w:pStyle w:val="ListBullet"/>
        <w:numPr>
          <w:ilvl w:val="0"/>
          <w:numId w:val="14"/>
        </w:numPr>
        <w:rPr>
          <w:rFonts w:ascii="Aptos Display" w:hAnsi="Aptos Display"/>
        </w:rPr>
      </w:pPr>
      <w:r w:rsidRPr="00752EB9">
        <w:rPr>
          <w:rFonts w:ascii="Aptos Display" w:hAnsi="Aptos Display"/>
        </w:rPr>
        <w:t>Cloud and Microsoft 365 security and optimization</w:t>
      </w:r>
    </w:p>
    <w:p w14:paraId="35B34365" w14:textId="38C9B332" w:rsidR="0019459A" w:rsidRPr="00752EB9" w:rsidRDefault="0019459A" w:rsidP="0019459A">
      <w:pPr>
        <w:pStyle w:val="ListBullet"/>
        <w:numPr>
          <w:ilvl w:val="0"/>
          <w:numId w:val="14"/>
        </w:numPr>
        <w:rPr>
          <w:rFonts w:ascii="Aptos Display" w:hAnsi="Aptos Display"/>
        </w:rPr>
      </w:pPr>
      <w:r w:rsidRPr="00752EB9">
        <w:rPr>
          <w:rFonts w:ascii="Aptos Display" w:hAnsi="Aptos Display"/>
        </w:rPr>
        <w:t>Security risk assessments, vulnerability management, and compliance support</w:t>
      </w:r>
    </w:p>
    <w:p w14:paraId="01450F37" w14:textId="77777777" w:rsidR="0019459A" w:rsidRPr="00752EB9" w:rsidRDefault="0019459A" w:rsidP="0019459A">
      <w:pPr>
        <w:pStyle w:val="Heading1"/>
        <w:spacing w:after="0"/>
        <w:rPr>
          <w:rFonts w:ascii="Aptos Display" w:hAnsi="Aptos Display"/>
          <w:color w:val="FF3000"/>
        </w:rPr>
      </w:pPr>
    </w:p>
    <w:p w14:paraId="3855FEFD" w14:textId="0BF27BBE" w:rsidR="0019459A" w:rsidRPr="00752EB9" w:rsidRDefault="00BA245B" w:rsidP="00BA245B">
      <w:pPr>
        <w:pStyle w:val="Heading1"/>
        <w:tabs>
          <w:tab w:val="left" w:pos="3615"/>
        </w:tabs>
        <w:spacing w:after="0"/>
        <w:rPr>
          <w:rFonts w:ascii="Aptos Display" w:hAnsi="Aptos Display"/>
          <w:color w:val="FF3000"/>
        </w:rPr>
      </w:pPr>
      <w:r w:rsidRPr="00752EB9">
        <w:rPr>
          <w:rFonts w:ascii="Aptos Display" w:hAnsi="Aptos Display"/>
          <w:color w:val="FF3000"/>
        </w:rPr>
        <w:tab/>
      </w:r>
    </w:p>
    <w:p w14:paraId="4EA2433D" w14:textId="51655AB7" w:rsidR="0019459A" w:rsidRPr="00752EB9" w:rsidRDefault="0019459A" w:rsidP="0019459A">
      <w:pPr>
        <w:pStyle w:val="Heading1"/>
        <w:spacing w:after="0"/>
        <w:rPr>
          <w:rFonts w:ascii="Aptos Display" w:hAnsi="Aptos Display"/>
          <w:color w:val="FF3000"/>
        </w:rPr>
      </w:pPr>
      <w:r w:rsidRPr="00752EB9">
        <w:rPr>
          <w:rFonts w:ascii="Aptos Display" w:hAnsi="Aptos Display"/>
          <w:color w:val="FF3000"/>
        </w:rPr>
        <w:lastRenderedPageBreak/>
        <w:t>Security &amp; Compliance Focus</w:t>
      </w:r>
    </w:p>
    <w:p w14:paraId="41FA5F6A" w14:textId="77777777" w:rsidR="0019459A" w:rsidRPr="00752EB9" w:rsidRDefault="0019459A" w:rsidP="0019459A">
      <w:pPr>
        <w:pStyle w:val="ListBullet"/>
        <w:numPr>
          <w:ilvl w:val="0"/>
          <w:numId w:val="15"/>
        </w:numPr>
        <w:rPr>
          <w:rFonts w:ascii="Aptos Display" w:hAnsi="Aptos Display"/>
        </w:rPr>
      </w:pPr>
      <w:r w:rsidRPr="00752EB9">
        <w:rPr>
          <w:rFonts w:ascii="Aptos Display" w:hAnsi="Aptos Display"/>
        </w:rPr>
        <w:t>HIPAA-aligned security controls and monitoring</w:t>
      </w:r>
    </w:p>
    <w:p w14:paraId="3D2B40B2" w14:textId="77777777" w:rsidR="0019459A" w:rsidRPr="00752EB9" w:rsidRDefault="0019459A" w:rsidP="0019459A">
      <w:pPr>
        <w:pStyle w:val="ListBullet"/>
        <w:numPr>
          <w:ilvl w:val="0"/>
          <w:numId w:val="15"/>
        </w:numPr>
        <w:rPr>
          <w:rFonts w:ascii="Aptos Display" w:hAnsi="Aptos Display"/>
        </w:rPr>
      </w:pPr>
      <w:r w:rsidRPr="00752EB9">
        <w:rPr>
          <w:rFonts w:ascii="Aptos Display" w:hAnsi="Aptos Display"/>
        </w:rPr>
        <w:t>Support for GDPR, ISO/IEC 27001, and industry best practices</w:t>
      </w:r>
    </w:p>
    <w:p w14:paraId="3F5DC8AD" w14:textId="77777777" w:rsidR="0019459A" w:rsidRPr="00752EB9" w:rsidRDefault="0019459A" w:rsidP="0019459A">
      <w:pPr>
        <w:pStyle w:val="ListBullet"/>
        <w:numPr>
          <w:ilvl w:val="0"/>
          <w:numId w:val="15"/>
        </w:numPr>
        <w:rPr>
          <w:rFonts w:ascii="Aptos Display" w:hAnsi="Aptos Display"/>
        </w:rPr>
      </w:pPr>
      <w:r w:rsidRPr="00752EB9">
        <w:rPr>
          <w:rFonts w:ascii="Aptos Display" w:hAnsi="Aptos Display"/>
        </w:rPr>
        <w:t>Audit-ready reporting and documented incident response processes</w:t>
      </w:r>
    </w:p>
    <w:p w14:paraId="0BE870CA" w14:textId="77777777" w:rsidR="0019459A" w:rsidRPr="00752EB9" w:rsidRDefault="0019459A" w:rsidP="0019459A">
      <w:pPr>
        <w:pStyle w:val="ListBullet"/>
        <w:numPr>
          <w:ilvl w:val="0"/>
          <w:numId w:val="15"/>
        </w:numPr>
        <w:rPr>
          <w:rFonts w:ascii="Aptos Display" w:hAnsi="Aptos Display"/>
        </w:rPr>
      </w:pPr>
      <w:r w:rsidRPr="00752EB9">
        <w:rPr>
          <w:rFonts w:ascii="Aptos Display" w:hAnsi="Aptos Display"/>
        </w:rPr>
        <w:t>Security programs designed to satisfy cyber insurance requirements</w:t>
      </w:r>
    </w:p>
    <w:p w14:paraId="6F3BA3FC" w14:textId="77777777" w:rsidR="0019459A" w:rsidRPr="00752EB9" w:rsidRDefault="0019459A" w:rsidP="0019459A">
      <w:pPr>
        <w:pStyle w:val="Heading1"/>
        <w:spacing w:after="0"/>
        <w:rPr>
          <w:rFonts w:ascii="Aptos Display" w:hAnsi="Aptos Display"/>
          <w:color w:val="FF3000"/>
        </w:rPr>
      </w:pPr>
      <w:r w:rsidRPr="00752EB9">
        <w:rPr>
          <w:rFonts w:ascii="Aptos Display" w:hAnsi="Aptos Display"/>
          <w:color w:val="FF3000"/>
        </w:rPr>
        <w:t>Advisor-First Engagement Model</w:t>
      </w:r>
    </w:p>
    <w:p w14:paraId="5E0EFA00" w14:textId="77777777" w:rsidR="0019459A" w:rsidRPr="00752EB9" w:rsidRDefault="0019459A" w:rsidP="0019459A">
      <w:pPr>
        <w:pStyle w:val="ListBullet"/>
        <w:numPr>
          <w:ilvl w:val="0"/>
          <w:numId w:val="16"/>
        </w:numPr>
        <w:rPr>
          <w:rFonts w:ascii="Aptos Display" w:hAnsi="Aptos Display"/>
        </w:rPr>
      </w:pPr>
      <w:r w:rsidRPr="00752EB9">
        <w:rPr>
          <w:rFonts w:ascii="Aptos Display" w:hAnsi="Aptos Display"/>
        </w:rPr>
        <w:t>BCS365 supports AVANT Trusted Advisors—never competes for the customer relationship</w:t>
      </w:r>
    </w:p>
    <w:p w14:paraId="7F99AAC9" w14:textId="77777777" w:rsidR="0019459A" w:rsidRPr="00752EB9" w:rsidRDefault="0019459A" w:rsidP="0019459A">
      <w:pPr>
        <w:pStyle w:val="ListBullet"/>
        <w:numPr>
          <w:ilvl w:val="0"/>
          <w:numId w:val="16"/>
        </w:numPr>
        <w:rPr>
          <w:rFonts w:ascii="Aptos Display" w:hAnsi="Aptos Display"/>
        </w:rPr>
      </w:pPr>
      <w:r w:rsidRPr="00752EB9">
        <w:rPr>
          <w:rFonts w:ascii="Aptos Display" w:hAnsi="Aptos Display"/>
        </w:rPr>
        <w:t>White</w:t>
      </w:r>
      <w:r w:rsidRPr="00752EB9">
        <w:rPr>
          <w:rFonts w:ascii="Cambria Math" w:hAnsi="Cambria Math" w:cs="Cambria Math"/>
        </w:rPr>
        <w:t>‑</w:t>
      </w:r>
      <w:r w:rsidRPr="00752EB9">
        <w:rPr>
          <w:rFonts w:ascii="Aptos Display" w:hAnsi="Aptos Display"/>
        </w:rPr>
        <w:t>label or co</w:t>
      </w:r>
      <w:r w:rsidRPr="00752EB9">
        <w:rPr>
          <w:rFonts w:ascii="Cambria Math" w:hAnsi="Cambria Math" w:cs="Cambria Math"/>
        </w:rPr>
        <w:t>‑</w:t>
      </w:r>
      <w:r w:rsidRPr="00752EB9">
        <w:rPr>
          <w:rFonts w:ascii="Aptos Display" w:hAnsi="Aptos Display"/>
        </w:rPr>
        <w:t>sell engagement based on advisor preference</w:t>
      </w:r>
    </w:p>
    <w:p w14:paraId="4539EA96" w14:textId="77777777" w:rsidR="0019459A" w:rsidRPr="00752EB9" w:rsidRDefault="0019459A" w:rsidP="0019459A">
      <w:pPr>
        <w:pStyle w:val="ListBullet"/>
        <w:numPr>
          <w:ilvl w:val="0"/>
          <w:numId w:val="16"/>
        </w:numPr>
        <w:rPr>
          <w:rFonts w:ascii="Aptos Display" w:hAnsi="Aptos Display"/>
        </w:rPr>
      </w:pPr>
      <w:r w:rsidRPr="00752EB9">
        <w:rPr>
          <w:rFonts w:ascii="Aptos Display" w:hAnsi="Aptos Display"/>
        </w:rPr>
        <w:t>BCS365 operates as the behind</w:t>
      </w:r>
      <w:r w:rsidRPr="00752EB9">
        <w:rPr>
          <w:rFonts w:ascii="Cambria Math" w:hAnsi="Cambria Math" w:cs="Cambria Math"/>
        </w:rPr>
        <w:t>‑</w:t>
      </w:r>
      <w:r w:rsidRPr="00752EB9">
        <w:rPr>
          <w:rFonts w:ascii="Aptos Display" w:hAnsi="Aptos Display"/>
        </w:rPr>
        <w:t>the</w:t>
      </w:r>
      <w:r w:rsidRPr="00752EB9">
        <w:rPr>
          <w:rFonts w:ascii="Cambria Math" w:hAnsi="Cambria Math" w:cs="Cambria Math"/>
        </w:rPr>
        <w:t>‑</w:t>
      </w:r>
      <w:r w:rsidRPr="00752EB9">
        <w:rPr>
          <w:rFonts w:ascii="Aptos Display" w:hAnsi="Aptos Display"/>
        </w:rPr>
        <w:t>scenes IT and security execution team</w:t>
      </w:r>
    </w:p>
    <w:p w14:paraId="59E96936" w14:textId="77777777" w:rsidR="0019459A" w:rsidRPr="00752EB9" w:rsidRDefault="0019459A" w:rsidP="0019459A">
      <w:pPr>
        <w:pStyle w:val="ListBullet"/>
        <w:numPr>
          <w:ilvl w:val="0"/>
          <w:numId w:val="16"/>
        </w:numPr>
        <w:rPr>
          <w:rFonts w:ascii="Aptos Display" w:hAnsi="Aptos Display"/>
        </w:rPr>
      </w:pPr>
      <w:r w:rsidRPr="00752EB9">
        <w:rPr>
          <w:rFonts w:ascii="Aptos Display" w:hAnsi="Aptos Display"/>
        </w:rPr>
        <w:t>Advisors maintain account ownership while expanding solution scope and revenue</w:t>
      </w:r>
    </w:p>
    <w:p w14:paraId="6A762BF5" w14:textId="77777777" w:rsidR="0019459A" w:rsidRPr="00752EB9" w:rsidRDefault="0019459A" w:rsidP="0019459A">
      <w:pPr>
        <w:pStyle w:val="Heading1"/>
        <w:spacing w:after="0"/>
        <w:rPr>
          <w:rFonts w:ascii="Aptos Display" w:hAnsi="Aptos Display"/>
          <w:color w:val="FF3000"/>
        </w:rPr>
      </w:pPr>
      <w:r w:rsidRPr="00752EB9">
        <w:rPr>
          <w:rFonts w:ascii="Aptos Display" w:hAnsi="Aptos Display"/>
          <w:color w:val="FF3000"/>
        </w:rPr>
        <w:t>Why This Matters for AVANT Partners</w:t>
      </w:r>
    </w:p>
    <w:p w14:paraId="5281530F" w14:textId="77777777" w:rsidR="0019459A" w:rsidRPr="00752EB9" w:rsidRDefault="0019459A" w:rsidP="0019459A">
      <w:pPr>
        <w:pStyle w:val="ListBullet"/>
        <w:numPr>
          <w:ilvl w:val="0"/>
          <w:numId w:val="17"/>
        </w:numPr>
        <w:rPr>
          <w:rFonts w:ascii="Aptos Display" w:hAnsi="Aptos Display"/>
        </w:rPr>
      </w:pPr>
      <w:r w:rsidRPr="00752EB9">
        <w:rPr>
          <w:rFonts w:ascii="Aptos Display" w:hAnsi="Aptos Display"/>
        </w:rPr>
        <w:t>Life sciences deals are higher value but higher risk without the right expertise</w:t>
      </w:r>
    </w:p>
    <w:p w14:paraId="465C465B" w14:textId="77777777" w:rsidR="0019459A" w:rsidRPr="00752EB9" w:rsidRDefault="0019459A" w:rsidP="0019459A">
      <w:pPr>
        <w:pStyle w:val="ListBullet"/>
        <w:numPr>
          <w:ilvl w:val="0"/>
          <w:numId w:val="17"/>
        </w:numPr>
        <w:rPr>
          <w:rFonts w:ascii="Aptos Display" w:hAnsi="Aptos Display"/>
        </w:rPr>
      </w:pPr>
      <w:r w:rsidRPr="00752EB9">
        <w:rPr>
          <w:rFonts w:ascii="Aptos Display" w:hAnsi="Aptos Display"/>
        </w:rPr>
        <w:t>BCS365 reduces delivery risk while enabling larger, security</w:t>
      </w:r>
      <w:r w:rsidRPr="00752EB9">
        <w:rPr>
          <w:rFonts w:ascii="Cambria Math" w:hAnsi="Cambria Math" w:cs="Cambria Math"/>
        </w:rPr>
        <w:t>‑</w:t>
      </w:r>
      <w:r w:rsidRPr="00752EB9">
        <w:rPr>
          <w:rFonts w:ascii="Aptos Display" w:hAnsi="Aptos Display"/>
        </w:rPr>
        <w:t>driven opportunities</w:t>
      </w:r>
    </w:p>
    <w:p w14:paraId="5D03FE14" w14:textId="77777777" w:rsidR="0019459A" w:rsidRPr="00752EB9" w:rsidRDefault="0019459A" w:rsidP="0019459A">
      <w:pPr>
        <w:pStyle w:val="ListBullet"/>
        <w:numPr>
          <w:ilvl w:val="0"/>
          <w:numId w:val="17"/>
        </w:numPr>
        <w:rPr>
          <w:rFonts w:ascii="Aptos Display" w:hAnsi="Aptos Display"/>
        </w:rPr>
      </w:pPr>
      <w:r w:rsidRPr="00752EB9">
        <w:rPr>
          <w:rFonts w:ascii="Aptos Display" w:hAnsi="Aptos Display"/>
        </w:rPr>
        <w:t>Attach managed IT and security services to increase MRR and long</w:t>
      </w:r>
      <w:r w:rsidRPr="00752EB9">
        <w:rPr>
          <w:rFonts w:ascii="Cambria Math" w:hAnsi="Cambria Math" w:cs="Cambria Math"/>
        </w:rPr>
        <w:t>‑</w:t>
      </w:r>
      <w:r w:rsidRPr="00752EB9">
        <w:rPr>
          <w:rFonts w:ascii="Aptos Display" w:hAnsi="Aptos Display"/>
        </w:rPr>
        <w:t>term retention</w:t>
      </w:r>
    </w:p>
    <w:p w14:paraId="7D372A1E" w14:textId="77777777" w:rsidR="0019459A" w:rsidRPr="00752EB9" w:rsidRDefault="0019459A" w:rsidP="0019459A">
      <w:pPr>
        <w:pStyle w:val="ListBullet"/>
        <w:numPr>
          <w:ilvl w:val="0"/>
          <w:numId w:val="17"/>
        </w:numPr>
        <w:rPr>
          <w:rFonts w:ascii="Aptos Display" w:hAnsi="Aptos Display"/>
        </w:rPr>
      </w:pPr>
      <w:r w:rsidRPr="00752EB9">
        <w:rPr>
          <w:rFonts w:ascii="Aptos Display" w:hAnsi="Aptos Display"/>
        </w:rPr>
        <w:t>Position yourself as a trusted advisor with industry</w:t>
      </w:r>
      <w:r w:rsidRPr="00752EB9">
        <w:rPr>
          <w:rFonts w:ascii="Cambria Math" w:hAnsi="Cambria Math" w:cs="Cambria Math"/>
        </w:rPr>
        <w:t>‑</w:t>
      </w:r>
      <w:r w:rsidRPr="00752EB9">
        <w:rPr>
          <w:rFonts w:ascii="Aptos Display" w:hAnsi="Aptos Display"/>
        </w:rPr>
        <w:t>specific credibility</w:t>
      </w:r>
    </w:p>
    <w:p w14:paraId="4857AD78" w14:textId="77777777" w:rsidR="0019459A" w:rsidRPr="00752EB9" w:rsidRDefault="0019459A" w:rsidP="0019459A">
      <w:pPr>
        <w:pStyle w:val="Heading1"/>
        <w:spacing w:after="0"/>
        <w:rPr>
          <w:rFonts w:ascii="Aptos Display" w:hAnsi="Aptos Display"/>
          <w:color w:val="FF3000"/>
        </w:rPr>
      </w:pPr>
      <w:r w:rsidRPr="00752EB9">
        <w:rPr>
          <w:rFonts w:ascii="Aptos Display" w:hAnsi="Aptos Display"/>
          <w:color w:val="FF3000"/>
        </w:rPr>
        <w:t>Next Steps</w:t>
      </w:r>
    </w:p>
    <w:p w14:paraId="66A6B613" w14:textId="77777777" w:rsidR="0019459A" w:rsidRPr="00752EB9" w:rsidRDefault="0019459A" w:rsidP="0019459A">
      <w:pPr>
        <w:rPr>
          <w:rFonts w:ascii="Aptos Display" w:hAnsi="Aptos Display"/>
        </w:rPr>
      </w:pPr>
      <w:r w:rsidRPr="00752EB9">
        <w:rPr>
          <w:rFonts w:ascii="Aptos Display" w:hAnsi="Aptos Display"/>
        </w:rPr>
        <w:t xml:space="preserve">Register a life sciences opportunity with BCS365 through AVANT to scope IT and security requirements and deliver a compliant, secure, and scalable solution for your </w:t>
      </w:r>
      <w:proofErr w:type="gramStart"/>
      <w:r w:rsidRPr="00752EB9">
        <w:rPr>
          <w:rFonts w:ascii="Aptos Display" w:hAnsi="Aptos Display"/>
        </w:rPr>
        <w:t>customer</w:t>
      </w:r>
      <w:proofErr w:type="gramEnd"/>
      <w:r w:rsidRPr="00752EB9">
        <w:rPr>
          <w:rFonts w:ascii="Aptos Display" w:hAnsi="Aptos Display"/>
        </w:rPr>
        <w:t>.</w:t>
      </w:r>
    </w:p>
    <w:p w14:paraId="6C8B08FD" w14:textId="1AD4C1C0" w:rsidR="00ED6AC8" w:rsidRPr="003A4591" w:rsidRDefault="00ED6AC8" w:rsidP="0019459A">
      <w:pPr>
        <w:pStyle w:val="Heading1"/>
        <w:spacing w:after="0"/>
        <w:rPr>
          <w:rFonts w:ascii="Aptos Display" w:hAnsi="Aptos Display"/>
        </w:rPr>
      </w:pPr>
    </w:p>
    <w:sectPr w:rsidR="00ED6AC8" w:rsidRPr="003A4591" w:rsidSect="00295042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8C082" w14:textId="77777777" w:rsidR="00D92C60" w:rsidRDefault="00D92C60" w:rsidP="00644AB4">
      <w:pPr>
        <w:spacing w:after="0" w:line="240" w:lineRule="auto"/>
      </w:pPr>
      <w:r>
        <w:separator/>
      </w:r>
    </w:p>
  </w:endnote>
  <w:endnote w:type="continuationSeparator" w:id="0">
    <w:p w14:paraId="6EFC4438" w14:textId="77777777" w:rsidR="00D92C60" w:rsidRDefault="00D92C60" w:rsidP="00644AB4">
      <w:pPr>
        <w:spacing w:after="0" w:line="240" w:lineRule="auto"/>
      </w:pPr>
      <w:r>
        <w:continuationSeparator/>
      </w:r>
    </w:p>
  </w:endnote>
  <w:endnote w:type="continuationNotice" w:id="1">
    <w:p w14:paraId="3D356255" w14:textId="77777777" w:rsidR="00D92C60" w:rsidRDefault="00D92C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ontserrat">
    <w:panose1 w:val="00000800000000000000"/>
    <w:charset w:val="00"/>
    <w:family w:val="auto"/>
    <w:pitch w:val="variable"/>
    <w:sig w:usb0="2000020F" w:usb1="00000003" w:usb2="00000000" w:usb3="00000000" w:csb0="00000197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04B31" w14:textId="41D63CE2" w:rsidR="004408D3" w:rsidRDefault="00D161DF">
    <w:pPr>
      <w:pStyle w:val="Foo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14B01D9" wp14:editId="63B859CA">
          <wp:simplePos x="0" y="0"/>
          <wp:positionH relativeFrom="leftMargin">
            <wp:posOffset>519430</wp:posOffset>
          </wp:positionH>
          <wp:positionV relativeFrom="paragraph">
            <wp:posOffset>325120</wp:posOffset>
          </wp:positionV>
          <wp:extent cx="213995" cy="254000"/>
          <wp:effectExtent l="0" t="0" r="0" b="0"/>
          <wp:wrapNone/>
          <wp:docPr id="9" name="Picture 9" descr="A white phone handset on a black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white phone handset on a black background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995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1" locked="0" layoutInCell="1" allowOverlap="1" wp14:anchorId="232E6E29" wp14:editId="096ADD4C">
          <wp:simplePos x="0" y="0"/>
          <wp:positionH relativeFrom="leftMargin">
            <wp:posOffset>1841500</wp:posOffset>
          </wp:positionH>
          <wp:positionV relativeFrom="paragraph">
            <wp:posOffset>314696</wp:posOffset>
          </wp:positionV>
          <wp:extent cx="213995" cy="254000"/>
          <wp:effectExtent l="0" t="0" r="0" b="0"/>
          <wp:wrapNone/>
          <wp:docPr id="12" name="Picture 12" descr="A picture containing circle, symmetry, li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 picture containing circle, symmetry, line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995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5D82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D603E94" wp14:editId="278ED191">
              <wp:simplePos x="0" y="0"/>
              <wp:positionH relativeFrom="page">
                <wp:posOffset>8255</wp:posOffset>
              </wp:positionH>
              <wp:positionV relativeFrom="paragraph">
                <wp:posOffset>267970</wp:posOffset>
              </wp:positionV>
              <wp:extent cx="7762875" cy="352425"/>
              <wp:effectExtent l="0" t="0" r="9525" b="9525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2875" cy="352425"/>
                      </a:xfrm>
                      <a:prstGeom prst="rect">
                        <a:avLst/>
                      </a:prstGeom>
                      <a:solidFill>
                        <a:srgbClr val="0458E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2256DAAE" w14:textId="45F56649" w:rsidR="00BC67BB" w:rsidRPr="00D161DF" w:rsidRDefault="00C71684" w:rsidP="00D161DF">
                          <w:pPr>
                            <w:spacing w:before="80"/>
                            <w:suppressOverlap/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</w:t>
                          </w:r>
                          <w:r w:rsidR="00212EAA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</w:t>
                          </w:r>
                          <w:r w:rsid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</w:t>
                          </w:r>
                          <w:r w:rsidR="00212EAA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</w:t>
                          </w:r>
                          <w:r w:rsidR="000E2B5E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</w:t>
                          </w:r>
                          <w:r w:rsidR="00261064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781-870-0700      </w:t>
                          </w:r>
                          <w:r w:rsidR="00212EAA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</w:t>
                          </w:r>
                          <w:r w:rsidR="000E2B5E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</w:t>
                          </w:r>
                          <w:r w:rsid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BCS365.com                          </w:t>
                          </w:r>
                          <w:r w:rsidR="00261064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     </w:t>
                          </w:r>
                          <w:r w:rsidR="00C04A49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  <w:r w:rsidR="000E2B5E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                           </w:t>
                          </w:r>
                          <w:r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  </w:t>
                          </w:r>
                          <w:r w:rsidR="000E2B5E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</w:t>
                          </w:r>
                          <w:r w:rsidR="00212EAA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  </w:t>
                          </w:r>
                          <w:r w:rsidR="000E2B5E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</w:t>
                          </w:r>
                          <w:r w:rsid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   </w:t>
                          </w:r>
                          <w:r w:rsidR="00BA245B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BCS365 Life Sciences One-Pager 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| 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5A7A4541" w14:textId="77777777" w:rsidR="00BC67BB" w:rsidRDefault="00BC67BB" w:rsidP="00BC67BB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603E94" id="Rectangle 8" o:spid="_x0000_s1028" style="position:absolute;margin-left:.65pt;margin-top:21.1pt;width:611.25pt;height:27.75pt;z-index:-25165824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" fillcolor="#0458e7" stroked="f" strokeweight="1pt">
              <v:textbox>
                <w:txbxContent>
                  <w:p w14:paraId="2256DAAE" w14:textId="45F56649" w:rsidR="00BC67BB" w:rsidRPr="00D161DF" w:rsidRDefault="00C71684" w:rsidP="00D161DF">
                    <w:pPr>
                      <w:spacing w:before="80"/>
                      <w:suppressOverlap/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</w:pPr>
                    <w:r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</w:t>
                    </w:r>
                    <w:r w:rsidR="00212EAA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</w:t>
                    </w:r>
                    <w:r w:rsid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</w:t>
                    </w:r>
                    <w:r w:rsidR="00212EAA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</w:t>
                    </w:r>
                    <w:r w:rsidR="000E2B5E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</w:t>
                    </w:r>
                    <w:r w:rsidR="00261064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781-870-0700      </w:t>
                    </w:r>
                    <w:r w:rsidR="00212EAA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</w:t>
                    </w:r>
                    <w:r w:rsidR="000E2B5E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</w:t>
                    </w:r>
                    <w:r w:rsid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BCS365.com                          </w:t>
                    </w:r>
                    <w:r w:rsidR="00261064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     </w:t>
                    </w:r>
                    <w:r w:rsidR="00C04A49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  <w:r w:rsidR="000E2B5E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                           </w:t>
                    </w:r>
                    <w:r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  </w:t>
                    </w:r>
                    <w:r w:rsidR="000E2B5E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</w:t>
                    </w:r>
                    <w:r w:rsidR="00212EAA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  </w:t>
                    </w:r>
                    <w:r w:rsidR="000E2B5E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</w:t>
                    </w:r>
                    <w:r w:rsid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   </w:t>
                    </w:r>
                    <w:r w:rsidR="00BA245B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BCS365 Life Sciences One-Pager 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| 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instrText xml:space="preserve"> PAGE   \* MERGEFORMAT </w:instrTex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BC67BB" w:rsidRPr="00D161DF">
                      <w:rPr>
                        <w:rFonts w:ascii="Aptos Display" w:hAnsi="Aptos Display" w:cs="Calibri"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="00BC67BB" w:rsidRPr="00D161DF">
                      <w:rPr>
                        <w:rFonts w:ascii="Aptos Display" w:hAnsi="Aptos Display" w:cs="Calibri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  <w:p w14:paraId="5A7A4541" w14:textId="77777777" w:rsidR="00BC67BB" w:rsidRDefault="00BC67BB" w:rsidP="00BC67BB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D570E" w14:textId="77777777" w:rsidR="00D92C60" w:rsidRDefault="00D92C60" w:rsidP="00644AB4">
      <w:pPr>
        <w:spacing w:after="0" w:line="240" w:lineRule="auto"/>
      </w:pPr>
      <w:r>
        <w:separator/>
      </w:r>
    </w:p>
  </w:footnote>
  <w:footnote w:type="continuationSeparator" w:id="0">
    <w:p w14:paraId="2C749B21" w14:textId="77777777" w:rsidR="00D92C60" w:rsidRDefault="00D92C60" w:rsidP="00644AB4">
      <w:pPr>
        <w:spacing w:after="0" w:line="240" w:lineRule="auto"/>
      </w:pPr>
      <w:r>
        <w:continuationSeparator/>
      </w:r>
    </w:p>
  </w:footnote>
  <w:footnote w:type="continuationNotice" w:id="1">
    <w:p w14:paraId="36CDB3AE" w14:textId="77777777" w:rsidR="00D92C60" w:rsidRDefault="00D92C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159F" w14:textId="3F333B22" w:rsidR="00CF6C3A" w:rsidRDefault="00567A1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B704BC3" wp14:editId="08FF71A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4445"/>
              <wp:wrapNone/>
              <wp:docPr id="1487485017" name="Text Box 12" descr="BCS365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B6BC9E" w14:textId="336ECF91" w:rsidR="00567A13" w:rsidRPr="00567A13" w:rsidRDefault="00567A13" w:rsidP="00567A1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67A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BCS365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704BC3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alt="BCS365 Public" style="position:absolute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2EB6BC9E" w14:textId="336ECF91" w:rsidR="00567A13" w:rsidRPr="00567A13" w:rsidRDefault="00567A13" w:rsidP="00567A1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67A1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BCS365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825E4" w14:textId="726619B1" w:rsidR="00CF6C3A" w:rsidRDefault="00567A1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51F48E2A" wp14:editId="226FCFF4">
              <wp:simplePos x="9144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4445"/>
              <wp:wrapNone/>
              <wp:docPr id="2011914886" name="Text Box 13" descr="BCS365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FD217E" w14:textId="63FAB2EB" w:rsidR="00567A13" w:rsidRPr="000214AA" w:rsidRDefault="00567A13" w:rsidP="00567A13">
                          <w:pPr>
                            <w:spacing w:after="0"/>
                            <w:rPr>
                              <w:rFonts w:ascii="Aptos Display" w:eastAsia="Calibri" w:hAnsi="Aptos Display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214AA">
                            <w:rPr>
                              <w:rFonts w:ascii="Aptos Display" w:eastAsia="Calibri" w:hAnsi="Aptos Display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BCS365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F48E2A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alt="BCS365 Public" style="position:absolute;margin-left:0;margin-top:0;width:34.95pt;height:34.95pt;z-index:25165824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22FD217E" w14:textId="63FAB2EB" w:rsidR="00567A13" w:rsidRPr="000214AA" w:rsidRDefault="00567A13" w:rsidP="00567A13">
                    <w:pPr>
                      <w:spacing w:after="0"/>
                      <w:rPr>
                        <w:rFonts w:ascii="Aptos Display" w:eastAsia="Calibri" w:hAnsi="Aptos Display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214AA">
                      <w:rPr>
                        <w:rFonts w:ascii="Aptos Display" w:eastAsia="Calibri" w:hAnsi="Aptos Display" w:cs="Calibri"/>
                        <w:noProof/>
                        <w:color w:val="000000"/>
                        <w:sz w:val="16"/>
                        <w:szCs w:val="16"/>
                      </w:rPr>
                      <w:t>BCS365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43275" w14:textId="0B26F45B" w:rsidR="00CF6C3A" w:rsidRDefault="00567A1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70790F36" wp14:editId="1C27D1B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4445"/>
              <wp:wrapNone/>
              <wp:docPr id="1890909486" name="Text Box 11" descr="BCS365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E99169" w14:textId="057C600F" w:rsidR="00567A13" w:rsidRPr="00567A13" w:rsidRDefault="00567A13" w:rsidP="00567A1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67A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BCS365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790F3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9" type="#_x0000_t202" alt="BCS365 Public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LpY2V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72E99169" w14:textId="057C600F" w:rsidR="00567A13" w:rsidRPr="00567A13" w:rsidRDefault="00567A13" w:rsidP="00567A1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67A1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BCS365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67291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246F25"/>
    <w:multiLevelType w:val="hybridMultilevel"/>
    <w:tmpl w:val="5A7E051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E62EC4"/>
    <w:multiLevelType w:val="hybridMultilevel"/>
    <w:tmpl w:val="909AC7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134DF5"/>
    <w:multiLevelType w:val="hybridMultilevel"/>
    <w:tmpl w:val="CB086C5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345363"/>
    <w:multiLevelType w:val="hybridMultilevel"/>
    <w:tmpl w:val="A0F0916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6B46EC"/>
    <w:multiLevelType w:val="hybridMultilevel"/>
    <w:tmpl w:val="3C7E0B0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8D602E"/>
    <w:multiLevelType w:val="hybridMultilevel"/>
    <w:tmpl w:val="36ACBAF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2D26D6"/>
    <w:multiLevelType w:val="hybridMultilevel"/>
    <w:tmpl w:val="3B92B19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2914F2"/>
    <w:multiLevelType w:val="hybridMultilevel"/>
    <w:tmpl w:val="59CE8D9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B31A06"/>
    <w:multiLevelType w:val="hybridMultilevel"/>
    <w:tmpl w:val="1B06145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5E49CB"/>
    <w:multiLevelType w:val="hybridMultilevel"/>
    <w:tmpl w:val="4F503C0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2A81C7A"/>
    <w:multiLevelType w:val="hybridMultilevel"/>
    <w:tmpl w:val="4F84DFF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4DE683D"/>
    <w:multiLevelType w:val="hybridMultilevel"/>
    <w:tmpl w:val="585E78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ADE26DE"/>
    <w:multiLevelType w:val="hybridMultilevel"/>
    <w:tmpl w:val="75780EE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CC05387"/>
    <w:multiLevelType w:val="hybridMultilevel"/>
    <w:tmpl w:val="2EB427A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4DE3AD5"/>
    <w:multiLevelType w:val="hybridMultilevel"/>
    <w:tmpl w:val="65E2FC9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E3E6320"/>
    <w:multiLevelType w:val="hybridMultilevel"/>
    <w:tmpl w:val="22DA80C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88973919">
    <w:abstractNumId w:val="0"/>
  </w:num>
  <w:num w:numId="2" w16cid:durableId="1194995736">
    <w:abstractNumId w:val="8"/>
  </w:num>
  <w:num w:numId="3" w16cid:durableId="1566063124">
    <w:abstractNumId w:val="9"/>
  </w:num>
  <w:num w:numId="4" w16cid:durableId="958532052">
    <w:abstractNumId w:val="7"/>
  </w:num>
  <w:num w:numId="5" w16cid:durableId="1317491603">
    <w:abstractNumId w:val="12"/>
  </w:num>
  <w:num w:numId="6" w16cid:durableId="1117258763">
    <w:abstractNumId w:val="10"/>
  </w:num>
  <w:num w:numId="7" w16cid:durableId="567155146">
    <w:abstractNumId w:val="5"/>
  </w:num>
  <w:num w:numId="8" w16cid:durableId="1656181461">
    <w:abstractNumId w:val="14"/>
  </w:num>
  <w:num w:numId="9" w16cid:durableId="1411274384">
    <w:abstractNumId w:val="1"/>
  </w:num>
  <w:num w:numId="10" w16cid:durableId="946237878">
    <w:abstractNumId w:val="3"/>
  </w:num>
  <w:num w:numId="11" w16cid:durableId="844714069">
    <w:abstractNumId w:val="2"/>
  </w:num>
  <w:num w:numId="12" w16cid:durableId="759135908">
    <w:abstractNumId w:val="6"/>
  </w:num>
  <w:num w:numId="13" w16cid:durableId="58554401">
    <w:abstractNumId w:val="11"/>
  </w:num>
  <w:num w:numId="14" w16cid:durableId="884096600">
    <w:abstractNumId w:val="13"/>
  </w:num>
  <w:num w:numId="15" w16cid:durableId="1412241823">
    <w:abstractNumId w:val="4"/>
  </w:num>
  <w:num w:numId="16" w16cid:durableId="604849739">
    <w:abstractNumId w:val="15"/>
  </w:num>
  <w:num w:numId="17" w16cid:durableId="1356035259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1D4"/>
    <w:rsid w:val="000020FA"/>
    <w:rsid w:val="0001334B"/>
    <w:rsid w:val="000214AA"/>
    <w:rsid w:val="00026330"/>
    <w:rsid w:val="00032E26"/>
    <w:rsid w:val="00062A9E"/>
    <w:rsid w:val="000774F0"/>
    <w:rsid w:val="0008394E"/>
    <w:rsid w:val="000848E5"/>
    <w:rsid w:val="00091649"/>
    <w:rsid w:val="00092D2B"/>
    <w:rsid w:val="00096FE2"/>
    <w:rsid w:val="00097CC9"/>
    <w:rsid w:val="000A2CCB"/>
    <w:rsid w:val="000A3F31"/>
    <w:rsid w:val="000A7497"/>
    <w:rsid w:val="000B2416"/>
    <w:rsid w:val="000B39D7"/>
    <w:rsid w:val="000B58A2"/>
    <w:rsid w:val="000B706F"/>
    <w:rsid w:val="000C1EAD"/>
    <w:rsid w:val="000C40C5"/>
    <w:rsid w:val="000E21D4"/>
    <w:rsid w:val="000E2B5E"/>
    <w:rsid w:val="000F64EB"/>
    <w:rsid w:val="001021B0"/>
    <w:rsid w:val="00106A9D"/>
    <w:rsid w:val="001244AF"/>
    <w:rsid w:val="001278AD"/>
    <w:rsid w:val="00127F43"/>
    <w:rsid w:val="00140846"/>
    <w:rsid w:val="0014164B"/>
    <w:rsid w:val="00143A86"/>
    <w:rsid w:val="0014599B"/>
    <w:rsid w:val="001676F1"/>
    <w:rsid w:val="0016786F"/>
    <w:rsid w:val="0017058D"/>
    <w:rsid w:val="00177AF7"/>
    <w:rsid w:val="00183CF3"/>
    <w:rsid w:val="00185C50"/>
    <w:rsid w:val="0019459A"/>
    <w:rsid w:val="001B4E1D"/>
    <w:rsid w:val="001B6601"/>
    <w:rsid w:val="001C5350"/>
    <w:rsid w:val="001C753D"/>
    <w:rsid w:val="001D61D8"/>
    <w:rsid w:val="0020318D"/>
    <w:rsid w:val="0020529B"/>
    <w:rsid w:val="00207F85"/>
    <w:rsid w:val="00211678"/>
    <w:rsid w:val="0021177D"/>
    <w:rsid w:val="00212EAA"/>
    <w:rsid w:val="00214662"/>
    <w:rsid w:val="00215795"/>
    <w:rsid w:val="002211AF"/>
    <w:rsid w:val="00236933"/>
    <w:rsid w:val="00243659"/>
    <w:rsid w:val="00245762"/>
    <w:rsid w:val="00257470"/>
    <w:rsid w:val="00257938"/>
    <w:rsid w:val="00260193"/>
    <w:rsid w:val="00261064"/>
    <w:rsid w:val="00273229"/>
    <w:rsid w:val="0028218A"/>
    <w:rsid w:val="002835F0"/>
    <w:rsid w:val="00295042"/>
    <w:rsid w:val="002A1D51"/>
    <w:rsid w:val="002C4213"/>
    <w:rsid w:val="002C6A20"/>
    <w:rsid w:val="002E403D"/>
    <w:rsid w:val="002E7B6E"/>
    <w:rsid w:val="002F2E01"/>
    <w:rsid w:val="00305758"/>
    <w:rsid w:val="003208E2"/>
    <w:rsid w:val="00326126"/>
    <w:rsid w:val="00330C31"/>
    <w:rsid w:val="0033683B"/>
    <w:rsid w:val="00340D5E"/>
    <w:rsid w:val="00343A33"/>
    <w:rsid w:val="0034745B"/>
    <w:rsid w:val="0035055A"/>
    <w:rsid w:val="00351222"/>
    <w:rsid w:val="0035584E"/>
    <w:rsid w:val="00357C8A"/>
    <w:rsid w:val="00361504"/>
    <w:rsid w:val="003670D4"/>
    <w:rsid w:val="00371068"/>
    <w:rsid w:val="00390DFA"/>
    <w:rsid w:val="003A325F"/>
    <w:rsid w:val="003A36E8"/>
    <w:rsid w:val="003A43B5"/>
    <w:rsid w:val="003A4591"/>
    <w:rsid w:val="003C3CC0"/>
    <w:rsid w:val="003E0954"/>
    <w:rsid w:val="003E4575"/>
    <w:rsid w:val="003F0151"/>
    <w:rsid w:val="003F7C12"/>
    <w:rsid w:val="004069B6"/>
    <w:rsid w:val="004161AD"/>
    <w:rsid w:val="0042638E"/>
    <w:rsid w:val="004408D3"/>
    <w:rsid w:val="00445C67"/>
    <w:rsid w:val="0045036A"/>
    <w:rsid w:val="0045338E"/>
    <w:rsid w:val="00455FC3"/>
    <w:rsid w:val="004600AF"/>
    <w:rsid w:val="00463DD0"/>
    <w:rsid w:val="004716E6"/>
    <w:rsid w:val="00473504"/>
    <w:rsid w:val="004814D6"/>
    <w:rsid w:val="00484158"/>
    <w:rsid w:val="004A1110"/>
    <w:rsid w:val="004A1C45"/>
    <w:rsid w:val="004A3764"/>
    <w:rsid w:val="004A4414"/>
    <w:rsid w:val="004B7F36"/>
    <w:rsid w:val="004C0EC2"/>
    <w:rsid w:val="004C7E7E"/>
    <w:rsid w:val="004D02E4"/>
    <w:rsid w:val="004D3E72"/>
    <w:rsid w:val="004E2301"/>
    <w:rsid w:val="004F3BCD"/>
    <w:rsid w:val="004F5F57"/>
    <w:rsid w:val="00500D09"/>
    <w:rsid w:val="00502025"/>
    <w:rsid w:val="0051178E"/>
    <w:rsid w:val="00515EB3"/>
    <w:rsid w:val="00517025"/>
    <w:rsid w:val="0052498F"/>
    <w:rsid w:val="00525E89"/>
    <w:rsid w:val="005327ED"/>
    <w:rsid w:val="005409D5"/>
    <w:rsid w:val="00540BBA"/>
    <w:rsid w:val="00541207"/>
    <w:rsid w:val="00545C67"/>
    <w:rsid w:val="00557770"/>
    <w:rsid w:val="00562BE7"/>
    <w:rsid w:val="0056580D"/>
    <w:rsid w:val="00567A13"/>
    <w:rsid w:val="00570774"/>
    <w:rsid w:val="00591C5F"/>
    <w:rsid w:val="00593997"/>
    <w:rsid w:val="00595523"/>
    <w:rsid w:val="005966A4"/>
    <w:rsid w:val="005A4F62"/>
    <w:rsid w:val="005A5DD1"/>
    <w:rsid w:val="005B0CE0"/>
    <w:rsid w:val="005B2C59"/>
    <w:rsid w:val="005D4998"/>
    <w:rsid w:val="005D7F9F"/>
    <w:rsid w:val="0060064A"/>
    <w:rsid w:val="00621FC5"/>
    <w:rsid w:val="00630B99"/>
    <w:rsid w:val="00644AB4"/>
    <w:rsid w:val="006519E3"/>
    <w:rsid w:val="00657531"/>
    <w:rsid w:val="00657947"/>
    <w:rsid w:val="00665334"/>
    <w:rsid w:val="00666438"/>
    <w:rsid w:val="006809F2"/>
    <w:rsid w:val="00683C41"/>
    <w:rsid w:val="0069187C"/>
    <w:rsid w:val="006B1EBA"/>
    <w:rsid w:val="006C0B10"/>
    <w:rsid w:val="006C2552"/>
    <w:rsid w:val="006E4871"/>
    <w:rsid w:val="006F583F"/>
    <w:rsid w:val="006F65CA"/>
    <w:rsid w:val="00700CF3"/>
    <w:rsid w:val="00706958"/>
    <w:rsid w:val="007122EC"/>
    <w:rsid w:val="00721FE7"/>
    <w:rsid w:val="00722A94"/>
    <w:rsid w:val="007246AE"/>
    <w:rsid w:val="007419BF"/>
    <w:rsid w:val="00752DE4"/>
    <w:rsid w:val="00752EB9"/>
    <w:rsid w:val="00755C04"/>
    <w:rsid w:val="0076345A"/>
    <w:rsid w:val="00764EBE"/>
    <w:rsid w:val="007720E4"/>
    <w:rsid w:val="007B7680"/>
    <w:rsid w:val="007C2D2A"/>
    <w:rsid w:val="007D76D0"/>
    <w:rsid w:val="007E1153"/>
    <w:rsid w:val="00801CD6"/>
    <w:rsid w:val="008045C7"/>
    <w:rsid w:val="00814681"/>
    <w:rsid w:val="00815A59"/>
    <w:rsid w:val="00820996"/>
    <w:rsid w:val="00825CE8"/>
    <w:rsid w:val="00832271"/>
    <w:rsid w:val="0084050C"/>
    <w:rsid w:val="00840E87"/>
    <w:rsid w:val="00844E1A"/>
    <w:rsid w:val="0087557F"/>
    <w:rsid w:val="00891F7E"/>
    <w:rsid w:val="0089348E"/>
    <w:rsid w:val="008942A9"/>
    <w:rsid w:val="00896A97"/>
    <w:rsid w:val="008B1C9F"/>
    <w:rsid w:val="008C048C"/>
    <w:rsid w:val="008C1E48"/>
    <w:rsid w:val="008C62F9"/>
    <w:rsid w:val="008D6CF3"/>
    <w:rsid w:val="008D75EB"/>
    <w:rsid w:val="008D7B51"/>
    <w:rsid w:val="008E2D21"/>
    <w:rsid w:val="00900FFE"/>
    <w:rsid w:val="00901489"/>
    <w:rsid w:val="00927ED3"/>
    <w:rsid w:val="00940CD5"/>
    <w:rsid w:val="0094242C"/>
    <w:rsid w:val="009466A6"/>
    <w:rsid w:val="009471DF"/>
    <w:rsid w:val="00960411"/>
    <w:rsid w:val="00974B67"/>
    <w:rsid w:val="009825A4"/>
    <w:rsid w:val="0098429A"/>
    <w:rsid w:val="00984B72"/>
    <w:rsid w:val="009907FB"/>
    <w:rsid w:val="00990DBC"/>
    <w:rsid w:val="00997302"/>
    <w:rsid w:val="009B245E"/>
    <w:rsid w:val="009B2D8F"/>
    <w:rsid w:val="009B6E3E"/>
    <w:rsid w:val="009C2DF5"/>
    <w:rsid w:val="009C63DC"/>
    <w:rsid w:val="009D1726"/>
    <w:rsid w:val="009D21F4"/>
    <w:rsid w:val="009D650F"/>
    <w:rsid w:val="009D6EE2"/>
    <w:rsid w:val="009E7F7A"/>
    <w:rsid w:val="009F375F"/>
    <w:rsid w:val="00A01C9C"/>
    <w:rsid w:val="00A062CA"/>
    <w:rsid w:val="00A06CF8"/>
    <w:rsid w:val="00A072A4"/>
    <w:rsid w:val="00A230C8"/>
    <w:rsid w:val="00A26884"/>
    <w:rsid w:val="00A276AD"/>
    <w:rsid w:val="00A329E9"/>
    <w:rsid w:val="00A35D72"/>
    <w:rsid w:val="00A40A73"/>
    <w:rsid w:val="00A43270"/>
    <w:rsid w:val="00A51C91"/>
    <w:rsid w:val="00A53965"/>
    <w:rsid w:val="00A54BD8"/>
    <w:rsid w:val="00A62372"/>
    <w:rsid w:val="00A62EF4"/>
    <w:rsid w:val="00A63931"/>
    <w:rsid w:val="00A65E85"/>
    <w:rsid w:val="00A73EE1"/>
    <w:rsid w:val="00A846AE"/>
    <w:rsid w:val="00A87BF3"/>
    <w:rsid w:val="00A90103"/>
    <w:rsid w:val="00A908D7"/>
    <w:rsid w:val="00A9284D"/>
    <w:rsid w:val="00A93791"/>
    <w:rsid w:val="00AA3AB5"/>
    <w:rsid w:val="00AB2B65"/>
    <w:rsid w:val="00AB4090"/>
    <w:rsid w:val="00AC62F0"/>
    <w:rsid w:val="00AD52EF"/>
    <w:rsid w:val="00AE03E7"/>
    <w:rsid w:val="00AE399B"/>
    <w:rsid w:val="00AF3133"/>
    <w:rsid w:val="00B00FF1"/>
    <w:rsid w:val="00B02C62"/>
    <w:rsid w:val="00B14B08"/>
    <w:rsid w:val="00B25C55"/>
    <w:rsid w:val="00B30739"/>
    <w:rsid w:val="00B3213B"/>
    <w:rsid w:val="00B378E9"/>
    <w:rsid w:val="00B42585"/>
    <w:rsid w:val="00B6648B"/>
    <w:rsid w:val="00B859B7"/>
    <w:rsid w:val="00B958E8"/>
    <w:rsid w:val="00BA245B"/>
    <w:rsid w:val="00BB18AE"/>
    <w:rsid w:val="00BB5ED8"/>
    <w:rsid w:val="00BB6EA2"/>
    <w:rsid w:val="00BC5184"/>
    <w:rsid w:val="00BC67BB"/>
    <w:rsid w:val="00BD4B20"/>
    <w:rsid w:val="00BD7EC5"/>
    <w:rsid w:val="00BE18D6"/>
    <w:rsid w:val="00BE2D27"/>
    <w:rsid w:val="00BE5BB8"/>
    <w:rsid w:val="00BF6AC0"/>
    <w:rsid w:val="00C00128"/>
    <w:rsid w:val="00C02457"/>
    <w:rsid w:val="00C0386F"/>
    <w:rsid w:val="00C04A49"/>
    <w:rsid w:val="00C05E51"/>
    <w:rsid w:val="00C167A1"/>
    <w:rsid w:val="00C27878"/>
    <w:rsid w:val="00C27E3A"/>
    <w:rsid w:val="00C30152"/>
    <w:rsid w:val="00C36F0E"/>
    <w:rsid w:val="00C37B8B"/>
    <w:rsid w:val="00C50E07"/>
    <w:rsid w:val="00C53646"/>
    <w:rsid w:val="00C57F30"/>
    <w:rsid w:val="00C658C8"/>
    <w:rsid w:val="00C71684"/>
    <w:rsid w:val="00C8207F"/>
    <w:rsid w:val="00C90DDF"/>
    <w:rsid w:val="00C95BBF"/>
    <w:rsid w:val="00CA5F4D"/>
    <w:rsid w:val="00CA7A3F"/>
    <w:rsid w:val="00CB5425"/>
    <w:rsid w:val="00CC1B6C"/>
    <w:rsid w:val="00CC3738"/>
    <w:rsid w:val="00CD01A4"/>
    <w:rsid w:val="00CD687C"/>
    <w:rsid w:val="00CE3C13"/>
    <w:rsid w:val="00CE4ABD"/>
    <w:rsid w:val="00CF0D6F"/>
    <w:rsid w:val="00CF6C3A"/>
    <w:rsid w:val="00CF74E8"/>
    <w:rsid w:val="00D0259E"/>
    <w:rsid w:val="00D0571B"/>
    <w:rsid w:val="00D07843"/>
    <w:rsid w:val="00D161DF"/>
    <w:rsid w:val="00D228B1"/>
    <w:rsid w:val="00D378DD"/>
    <w:rsid w:val="00D42B20"/>
    <w:rsid w:val="00D44E86"/>
    <w:rsid w:val="00D45CFD"/>
    <w:rsid w:val="00D46D40"/>
    <w:rsid w:val="00D5318B"/>
    <w:rsid w:val="00D60CCD"/>
    <w:rsid w:val="00D66CC3"/>
    <w:rsid w:val="00D6736F"/>
    <w:rsid w:val="00D804D1"/>
    <w:rsid w:val="00D8163E"/>
    <w:rsid w:val="00D92C60"/>
    <w:rsid w:val="00D9443A"/>
    <w:rsid w:val="00DA71D0"/>
    <w:rsid w:val="00DB10F9"/>
    <w:rsid w:val="00DC067B"/>
    <w:rsid w:val="00DC228E"/>
    <w:rsid w:val="00DC6AEF"/>
    <w:rsid w:val="00DD27D9"/>
    <w:rsid w:val="00DD5BE0"/>
    <w:rsid w:val="00DD7315"/>
    <w:rsid w:val="00DE225C"/>
    <w:rsid w:val="00DE3C13"/>
    <w:rsid w:val="00DE5D82"/>
    <w:rsid w:val="00DE6CC3"/>
    <w:rsid w:val="00E018C7"/>
    <w:rsid w:val="00E04065"/>
    <w:rsid w:val="00E104FE"/>
    <w:rsid w:val="00E150A1"/>
    <w:rsid w:val="00E247ED"/>
    <w:rsid w:val="00E24F1D"/>
    <w:rsid w:val="00E251C6"/>
    <w:rsid w:val="00E31FCC"/>
    <w:rsid w:val="00E32BFB"/>
    <w:rsid w:val="00E37635"/>
    <w:rsid w:val="00E42986"/>
    <w:rsid w:val="00E50558"/>
    <w:rsid w:val="00E648F6"/>
    <w:rsid w:val="00E706F5"/>
    <w:rsid w:val="00E73671"/>
    <w:rsid w:val="00E73A77"/>
    <w:rsid w:val="00E73EF9"/>
    <w:rsid w:val="00E77EAB"/>
    <w:rsid w:val="00E862F3"/>
    <w:rsid w:val="00E87251"/>
    <w:rsid w:val="00E90F70"/>
    <w:rsid w:val="00EA171D"/>
    <w:rsid w:val="00EA5309"/>
    <w:rsid w:val="00EB1594"/>
    <w:rsid w:val="00EB2EB1"/>
    <w:rsid w:val="00EB471E"/>
    <w:rsid w:val="00EB6B28"/>
    <w:rsid w:val="00ED30C4"/>
    <w:rsid w:val="00ED6AC8"/>
    <w:rsid w:val="00EF616D"/>
    <w:rsid w:val="00F06ADC"/>
    <w:rsid w:val="00F1410C"/>
    <w:rsid w:val="00F14F0D"/>
    <w:rsid w:val="00F14FC3"/>
    <w:rsid w:val="00F15043"/>
    <w:rsid w:val="00F16AF6"/>
    <w:rsid w:val="00F23E16"/>
    <w:rsid w:val="00F24DFA"/>
    <w:rsid w:val="00F316AB"/>
    <w:rsid w:val="00F34CE4"/>
    <w:rsid w:val="00F3732F"/>
    <w:rsid w:val="00F61DB1"/>
    <w:rsid w:val="00F642EF"/>
    <w:rsid w:val="00F644B1"/>
    <w:rsid w:val="00F7620B"/>
    <w:rsid w:val="00F8711B"/>
    <w:rsid w:val="00F8777D"/>
    <w:rsid w:val="00F87D5E"/>
    <w:rsid w:val="00F92D78"/>
    <w:rsid w:val="00FA09C0"/>
    <w:rsid w:val="00FB60EF"/>
    <w:rsid w:val="00FC434E"/>
    <w:rsid w:val="00FD4CD7"/>
    <w:rsid w:val="00FE1E82"/>
    <w:rsid w:val="1DDF662F"/>
    <w:rsid w:val="60CB878B"/>
    <w:rsid w:val="6376B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8C9EE0"/>
  <w15:chartTrackingRefBased/>
  <w15:docId w15:val="{5D047FF6-4B08-4750-9E38-0BFC99DF2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2F0"/>
  </w:style>
  <w:style w:type="paragraph" w:styleId="Heading1">
    <w:name w:val="heading 1"/>
    <w:link w:val="Heading1Char"/>
    <w:uiPriority w:val="9"/>
    <w:qFormat/>
    <w:rsid w:val="00B30739"/>
    <w:pPr>
      <w:spacing w:before="360" w:after="200" w:line="240" w:lineRule="auto"/>
      <w:outlineLvl w:val="0"/>
    </w:pPr>
    <w:rPr>
      <w:rFonts w:ascii="Arial" w:eastAsia="Arial" w:hAnsi="Arial" w:cs="Arial"/>
      <w:b/>
      <w:bCs/>
      <w:color w:val="1A365D"/>
      <w:kern w:val="0"/>
      <w:sz w:val="36"/>
      <w:szCs w:val="36"/>
      <w14:ligatures w14:val="none"/>
    </w:rPr>
  </w:style>
  <w:style w:type="paragraph" w:styleId="Heading2">
    <w:name w:val="heading 2"/>
    <w:link w:val="Heading2Char"/>
    <w:uiPriority w:val="9"/>
    <w:unhideWhenUsed/>
    <w:qFormat/>
    <w:rsid w:val="00B30739"/>
    <w:pPr>
      <w:spacing w:before="280" w:after="140" w:line="240" w:lineRule="auto"/>
      <w:outlineLvl w:val="1"/>
    </w:pPr>
    <w:rPr>
      <w:rFonts w:ascii="Arial" w:eastAsia="Arial" w:hAnsi="Arial" w:cs="Arial"/>
      <w:b/>
      <w:bCs/>
      <w:color w:val="2B4570"/>
      <w:kern w:val="0"/>
      <w:sz w:val="28"/>
      <w:szCs w:val="28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5C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6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4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AB4"/>
  </w:style>
  <w:style w:type="paragraph" w:styleId="Footer">
    <w:name w:val="footer"/>
    <w:basedOn w:val="Normal"/>
    <w:link w:val="FooterChar"/>
    <w:uiPriority w:val="99"/>
    <w:unhideWhenUsed/>
    <w:rsid w:val="00644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AB4"/>
  </w:style>
  <w:style w:type="paragraph" w:customStyle="1" w:styleId="BasicParagraph">
    <w:name w:val="[Basic Paragraph]"/>
    <w:basedOn w:val="Normal"/>
    <w:uiPriority w:val="99"/>
    <w:rsid w:val="00644AB4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paragraph" w:styleId="ListParagraph">
    <w:name w:val="List Paragraph"/>
    <w:basedOn w:val="Normal"/>
    <w:qFormat/>
    <w:rsid w:val="0051178E"/>
    <w:pPr>
      <w:ind w:left="720"/>
      <w:contextualSpacing/>
    </w:pPr>
  </w:style>
  <w:style w:type="paragraph" w:customStyle="1" w:styleId="PDParagraphDefault">
    <w:name w:val="PDParagraphDefault"/>
    <w:basedOn w:val="Normal"/>
    <w:uiPriority w:val="99"/>
    <w:rsid w:val="008D7B51"/>
    <w:pPr>
      <w:spacing w:after="0" w:line="360" w:lineRule="auto"/>
    </w:pPr>
    <w:rPr>
      <w:rFonts w:ascii="Montserrat" w:hAnsi="Montserrat" w:cs="Montserrat"/>
      <w:color w:val="000000"/>
      <w:kern w:val="0"/>
      <w:sz w:val="18"/>
      <w:szCs w:val="18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B30739"/>
    <w:rPr>
      <w:rFonts w:ascii="Arial" w:eastAsia="Arial" w:hAnsi="Arial" w:cs="Arial"/>
      <w:b/>
      <w:bCs/>
      <w:color w:val="1A365D"/>
      <w:kern w:val="0"/>
      <w:sz w:val="36"/>
      <w:szCs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30739"/>
    <w:rPr>
      <w:rFonts w:ascii="Arial" w:eastAsia="Arial" w:hAnsi="Arial" w:cs="Arial"/>
      <w:b/>
      <w:bCs/>
      <w:color w:val="2B4570"/>
      <w:kern w:val="0"/>
      <w:sz w:val="28"/>
      <w:szCs w:val="28"/>
      <w14:ligatures w14:val="none"/>
    </w:rPr>
  </w:style>
  <w:style w:type="table" w:styleId="TableGridLight">
    <w:name w:val="Grid Table Light"/>
    <w:basedOn w:val="TableNormal"/>
    <w:uiPriority w:val="40"/>
    <w:rsid w:val="00A06CF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2-Accent1">
    <w:name w:val="Grid Table 2 Accent 1"/>
    <w:basedOn w:val="TableNormal"/>
    <w:uiPriority w:val="47"/>
    <w:rsid w:val="00A06CF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A06CF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3">
    <w:name w:val="Grid Table 3"/>
    <w:basedOn w:val="TableNormal"/>
    <w:uiPriority w:val="48"/>
    <w:rsid w:val="00F87D5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185C5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62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62CA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541207"/>
    <w:pPr>
      <w:numPr>
        <w:numId w:val="1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06992b2-54ce-4de0-bb26-5c4bb5613fdd}" enabled="1" method="Privileged" siteId="{296011fb-a57d-42be-a1bb-ff2c402079b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2373</Characters>
  <Application>Microsoft Office Word</Application>
  <DocSecurity>0</DocSecurity>
  <Lines>48</Lines>
  <Paragraphs>43</Paragraphs>
  <ScaleCrop>false</ScaleCrop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Morna Brady</dc:creator>
  <cp:keywords/>
  <dc:description/>
  <cp:lastModifiedBy>Morna Brady</cp:lastModifiedBy>
  <cp:revision>6</cp:revision>
  <cp:lastPrinted>2026-01-28T20:01:00Z</cp:lastPrinted>
  <dcterms:created xsi:type="dcterms:W3CDTF">2026-02-23T21:37:00Z</dcterms:created>
  <dcterms:modified xsi:type="dcterms:W3CDTF">2026-02-24T15:33:00Z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70b4fd2e,58a93859,77eb6286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BCS365 Public</vt:lpwstr>
  </property>
</Properties>
</file>