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545C67" w:rsidRPr="000F64EB" w14:paraId="46EBE068" w14:textId="77777777" w:rsidTr="00A7543E">
        <w:trPr>
          <w:trHeight w:val="1424"/>
        </w:trPr>
        <w:tc>
          <w:tcPr>
            <w:tcW w:w="10362" w:type="dxa"/>
          </w:tcPr>
          <w:p w14:paraId="3F5BFC53" w14:textId="1D9991D9" w:rsidR="00A1501F" w:rsidRPr="00A1501F" w:rsidRDefault="00D804D1" w:rsidP="006519E3">
            <w:pPr>
              <w:rPr>
                <w:rFonts w:ascii="Aptos Display" w:hAnsi="Aptos Display" w:cs="Calibri"/>
                <w:b/>
                <w:bCs/>
                <w:sz w:val="48"/>
                <w:szCs w:val="48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2F7B46">
              <w:rPr>
                <w:rFonts w:ascii="Aptos Display" w:hAnsi="Aptos Display" w:cs="Calibri"/>
                <w:b/>
                <w:bCs/>
                <w:sz w:val="48"/>
                <w:szCs w:val="48"/>
              </w:rPr>
              <w:t>F</w:t>
            </w:r>
            <w:r w:rsidR="00CC5141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inancial Services </w:t>
            </w:r>
            <w:r w:rsidR="00B2329B">
              <w:rPr>
                <w:rFonts w:ascii="Aptos Display" w:hAnsi="Aptos Display" w:cs="Calibri"/>
                <w:b/>
                <w:bCs/>
                <w:sz w:val="48"/>
                <w:szCs w:val="48"/>
              </w:rPr>
              <w:t>IT &amp; Cybersecurity</w:t>
            </w:r>
            <w:r w:rsidR="00B2329B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  <w:t>Expertise</w:t>
            </w:r>
          </w:p>
        </w:tc>
      </w:tr>
    </w:tbl>
    <w:p w14:paraId="3F5BE322" w14:textId="01CACC48" w:rsidR="00DE3C13" w:rsidRPr="00A7543E" w:rsidRDefault="00A7543E" w:rsidP="00DE3C13">
      <w:r>
        <w:rPr>
          <w:rFonts w:ascii="Aptos Display" w:hAnsi="Aptos Display"/>
          <w:i/>
          <w:sz w:val="24"/>
        </w:rPr>
        <w:br/>
      </w:r>
      <w:r w:rsidR="00940CD5"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A32A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 w:rsidR="00940C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BB26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46D">
        <w:rPr>
          <w:rFonts w:ascii="Aptos Display" w:hAnsi="Aptos Display"/>
          <w:i/>
          <w:sz w:val="24"/>
        </w:rPr>
        <w:t>Secure, Compliant Technology Support for Financial Organizations</w:t>
      </w:r>
      <w:r w:rsidR="00E745EC">
        <w:rPr>
          <w:rFonts w:ascii="Aptos Display" w:hAnsi="Aptos Display"/>
          <w:i/>
          <w:sz w:val="24"/>
        </w:rPr>
        <w:t xml:space="preserve"> | Powered by</w:t>
      </w:r>
      <w:r w:rsidR="00DE3C13" w:rsidRPr="000C589B">
        <w:rPr>
          <w:rFonts w:ascii="Aptos Display" w:hAnsi="Aptos Display"/>
          <w:i/>
          <w:sz w:val="24"/>
        </w:rPr>
        <w:t xml:space="preserve"> BCS365</w:t>
      </w:r>
    </w:p>
    <w:p w14:paraId="6A9A6782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Why Financial Organizations Choose BCS365</w:t>
      </w:r>
    </w:p>
    <w:p w14:paraId="4081E887" w14:textId="77777777" w:rsidR="006E798A" w:rsidRPr="004D56DB" w:rsidRDefault="006E798A" w:rsidP="006E798A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Financial institutions operate in a high-risk environment with constant cyber threats and regulatory scrutiny.</w:t>
      </w:r>
    </w:p>
    <w:p w14:paraId="52C25803" w14:textId="77777777" w:rsidR="006E798A" w:rsidRPr="004D56DB" w:rsidRDefault="006E798A" w:rsidP="006E798A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Real-time transactions and sensitive data require resilient, always-on IT infrastructure.</w:t>
      </w:r>
    </w:p>
    <w:p w14:paraId="04B7442F" w14:textId="77777777" w:rsidR="006E798A" w:rsidRPr="004D56DB" w:rsidRDefault="006E798A" w:rsidP="006E798A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BCS365 delivers industry-aware IT and cybersecurity services that protect operations and customer trust.</w:t>
      </w:r>
    </w:p>
    <w:p w14:paraId="05BF716E" w14:textId="77777777" w:rsidR="006E798A" w:rsidRPr="004D56DB" w:rsidRDefault="006E798A" w:rsidP="006E798A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Our team understands compliance, risk management, and uptime requirements unique to finance.</w:t>
      </w:r>
    </w:p>
    <w:p w14:paraId="1C6F3ED6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Financial Environments We Support</w:t>
      </w:r>
    </w:p>
    <w:p w14:paraId="72CA6238" w14:textId="77777777" w:rsidR="006E798A" w:rsidRPr="004D56DB" w:rsidRDefault="006E798A" w:rsidP="006E798A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Banks and credit unions</w:t>
      </w:r>
    </w:p>
    <w:p w14:paraId="5926ED50" w14:textId="77777777" w:rsidR="006E798A" w:rsidRPr="004D56DB" w:rsidRDefault="006E798A" w:rsidP="006E798A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Investment and wealth management firms</w:t>
      </w:r>
    </w:p>
    <w:p w14:paraId="456AF05A" w14:textId="77777777" w:rsidR="006E798A" w:rsidRPr="004D56DB" w:rsidRDefault="006E798A" w:rsidP="006E798A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Insurance providers and brokers</w:t>
      </w:r>
    </w:p>
    <w:p w14:paraId="329381D1" w14:textId="77777777" w:rsidR="006E798A" w:rsidRPr="004D56DB" w:rsidRDefault="006E798A" w:rsidP="006E798A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FinTech and digital payment platforms</w:t>
      </w:r>
    </w:p>
    <w:p w14:paraId="5FE7EF96" w14:textId="77777777" w:rsidR="006E798A" w:rsidRPr="004D56DB" w:rsidRDefault="006E798A" w:rsidP="006E798A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Corporate finance and accounting organizations</w:t>
      </w:r>
    </w:p>
    <w:p w14:paraId="5FDF4454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Core Challenges We Help Solve</w:t>
      </w:r>
    </w:p>
    <w:p w14:paraId="134D2781" w14:textId="77777777" w:rsidR="006E798A" w:rsidRPr="004D56DB" w:rsidRDefault="006E798A" w:rsidP="006E798A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Protection of customer data, financial records, and transaction systems</w:t>
      </w:r>
    </w:p>
    <w:p w14:paraId="11F1434D" w14:textId="77777777" w:rsidR="006E798A" w:rsidRPr="004D56DB" w:rsidRDefault="006E798A" w:rsidP="006E798A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Ransomware, phishing, fraud, and account takeover attacks</w:t>
      </w:r>
    </w:p>
    <w:p w14:paraId="6FAFA6BA" w14:textId="77777777" w:rsidR="006E798A" w:rsidRPr="004D56DB" w:rsidRDefault="006E798A" w:rsidP="006E798A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Regulatory compliance (PCI DSS, SOX, GDPR, and data privacy mandates)</w:t>
      </w:r>
    </w:p>
    <w:p w14:paraId="409C31E5" w14:textId="77777777" w:rsidR="006E798A" w:rsidRPr="004D56DB" w:rsidRDefault="006E798A" w:rsidP="006E798A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Secure remote access and collaboration for distributed teams</w:t>
      </w:r>
    </w:p>
    <w:p w14:paraId="4332EFA3" w14:textId="77777777" w:rsidR="006E798A" w:rsidRPr="004D56DB" w:rsidRDefault="006E798A" w:rsidP="006E798A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Operational resilience and disaster recovery planning</w:t>
      </w:r>
    </w:p>
    <w:p w14:paraId="14202B11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BCS365 Solutions for Financial Services</w:t>
      </w:r>
    </w:p>
    <w:p w14:paraId="3120DF67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Managed IT Services with 24/7/365 U.S.-based support</w:t>
      </w:r>
    </w:p>
    <w:p w14:paraId="55273D0C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Managed Detection &amp; Response (MDR) with continuous SOC monitoring</w:t>
      </w:r>
    </w:p>
    <w:p w14:paraId="5D5DCBE6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Identity and email security (ITDR, managed email security, MFA)</w:t>
      </w:r>
    </w:p>
    <w:p w14:paraId="72642EE3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Endpoint protection and data loss prevention (EDR, EDLP)</w:t>
      </w:r>
    </w:p>
    <w:p w14:paraId="0867AFBB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Enterprise network security and Zero Trust architecture</w:t>
      </w:r>
    </w:p>
    <w:p w14:paraId="0CCD56C1" w14:textId="77777777" w:rsidR="006E798A" w:rsidRPr="004D56DB" w:rsidRDefault="006E798A" w:rsidP="006E798A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Security risk assessments, vulnerability management, and compliance support</w:t>
      </w:r>
    </w:p>
    <w:p w14:paraId="60FB1751" w14:textId="77777777" w:rsidR="006E798A" w:rsidRDefault="006E798A" w:rsidP="006E798A">
      <w:pPr>
        <w:pStyle w:val="Heading1"/>
        <w:rPr>
          <w:rFonts w:ascii="Aptos Display" w:hAnsi="Aptos Display"/>
          <w:color w:val="000000" w:themeColor="text1"/>
        </w:rPr>
      </w:pPr>
    </w:p>
    <w:p w14:paraId="3C85D7F8" w14:textId="49DDE731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lastRenderedPageBreak/>
        <w:t>Security &amp; Compliance Focus</w:t>
      </w:r>
    </w:p>
    <w:p w14:paraId="75BB2539" w14:textId="77777777" w:rsidR="006E798A" w:rsidRPr="004D56DB" w:rsidRDefault="006E798A" w:rsidP="006E798A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Alignment with PCI DSS, SOX, GDPR, and industry best practices</w:t>
      </w:r>
    </w:p>
    <w:p w14:paraId="278FFDA2" w14:textId="77777777" w:rsidR="006E798A" w:rsidRPr="004D56DB" w:rsidRDefault="006E798A" w:rsidP="006E798A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Audit-ready reporting and documented incident response procedures</w:t>
      </w:r>
    </w:p>
    <w:p w14:paraId="5A02087E" w14:textId="77777777" w:rsidR="006E798A" w:rsidRPr="004D56DB" w:rsidRDefault="006E798A" w:rsidP="006E798A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Continuous monitoring to support cyber insurance requirements</w:t>
      </w:r>
    </w:p>
    <w:p w14:paraId="1B0C9F0B" w14:textId="77777777" w:rsidR="006E798A" w:rsidRPr="004D56DB" w:rsidRDefault="006E798A" w:rsidP="006E798A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Defense-in-depth security designed to reduce fraud and breach risk</w:t>
      </w:r>
    </w:p>
    <w:p w14:paraId="4E3E3798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Advisor-First Engagement Model</w:t>
      </w:r>
    </w:p>
    <w:p w14:paraId="43E7B0D0" w14:textId="77777777" w:rsidR="006E798A" w:rsidRPr="004D56DB" w:rsidRDefault="006E798A" w:rsidP="006E798A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BCS365 supports AVANT Trusted Advisors and never competes for the customer relationship</w:t>
      </w:r>
    </w:p>
    <w:p w14:paraId="2A76F94D" w14:textId="77777777" w:rsidR="006E798A" w:rsidRPr="004D56DB" w:rsidRDefault="006E798A" w:rsidP="006E798A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White-label or co-sell engagement based on advisor preference</w:t>
      </w:r>
    </w:p>
    <w:p w14:paraId="3146BB5E" w14:textId="77777777" w:rsidR="006E798A" w:rsidRPr="004D56DB" w:rsidRDefault="006E798A" w:rsidP="006E798A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BCS365 operates as the behind-the-scenes IT and security execution partner</w:t>
      </w:r>
    </w:p>
    <w:p w14:paraId="018EC810" w14:textId="77777777" w:rsidR="006E798A" w:rsidRPr="004D56DB" w:rsidRDefault="006E798A" w:rsidP="006E798A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Advisors maintain account ownership while expanding deal scope and value</w:t>
      </w:r>
    </w:p>
    <w:p w14:paraId="5D9DC927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Why This Matters for AVANT Partners</w:t>
      </w:r>
    </w:p>
    <w:p w14:paraId="093AD7FB" w14:textId="77777777" w:rsidR="006E798A" w:rsidRPr="004D56DB" w:rsidRDefault="006E798A" w:rsidP="006E798A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Finance deals are security-driven and scrutinized at the executive level</w:t>
      </w:r>
    </w:p>
    <w:p w14:paraId="317C6BF6" w14:textId="77777777" w:rsidR="006E798A" w:rsidRPr="004D56DB" w:rsidRDefault="006E798A" w:rsidP="006E798A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BCS365 reduces delivery risk and accelerates deal confidence</w:t>
      </w:r>
    </w:p>
    <w:p w14:paraId="0D46838D" w14:textId="77777777" w:rsidR="006E798A" w:rsidRPr="004D56DB" w:rsidRDefault="006E798A" w:rsidP="006E798A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Attach managed IT and security services to increase MRR and long-term retention</w:t>
      </w:r>
    </w:p>
    <w:p w14:paraId="65318120" w14:textId="77777777" w:rsidR="006E798A" w:rsidRPr="004D56DB" w:rsidRDefault="006E798A" w:rsidP="006E798A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4D56DB">
        <w:rPr>
          <w:rFonts w:ascii="Aptos Display" w:hAnsi="Aptos Display"/>
        </w:rPr>
        <w:t>Differentiate by offering industry-specific financial services expertise</w:t>
      </w:r>
    </w:p>
    <w:p w14:paraId="37339EB6" w14:textId="77777777" w:rsidR="006E798A" w:rsidRPr="006E798A" w:rsidRDefault="006E798A" w:rsidP="006E798A">
      <w:pPr>
        <w:pStyle w:val="Heading1"/>
        <w:spacing w:after="0"/>
        <w:rPr>
          <w:rFonts w:ascii="Aptos Display" w:hAnsi="Aptos Display"/>
          <w:color w:val="FF3000"/>
        </w:rPr>
      </w:pPr>
      <w:r w:rsidRPr="006E798A">
        <w:rPr>
          <w:rFonts w:ascii="Aptos Display" w:hAnsi="Aptos Display"/>
          <w:color w:val="FF3000"/>
        </w:rPr>
        <w:t>Next Steps</w:t>
      </w:r>
    </w:p>
    <w:p w14:paraId="525C9025" w14:textId="77777777" w:rsidR="006E798A" w:rsidRPr="004D56DB" w:rsidRDefault="006E798A" w:rsidP="006E798A">
      <w:pPr>
        <w:rPr>
          <w:rFonts w:ascii="Aptos Display" w:hAnsi="Aptos Display"/>
        </w:rPr>
      </w:pPr>
      <w:r w:rsidRPr="004D56DB">
        <w:rPr>
          <w:rFonts w:ascii="Aptos Display" w:hAnsi="Aptos Display"/>
        </w:rPr>
        <w:t xml:space="preserve">Register a financial services opportunity with BCS365 through AVANT to scope IT and cybersecurity requirements and deliver a secure, compliant, and resilient solution for your </w:t>
      </w:r>
      <w:proofErr w:type="gramStart"/>
      <w:r w:rsidRPr="004D56DB">
        <w:rPr>
          <w:rFonts w:ascii="Aptos Display" w:hAnsi="Aptos Display"/>
        </w:rPr>
        <w:t>customer</w:t>
      </w:r>
      <w:proofErr w:type="gramEnd"/>
      <w:r w:rsidRPr="004D56DB">
        <w:rPr>
          <w:rFonts w:ascii="Aptos Display" w:hAnsi="Aptos Display"/>
        </w:rPr>
        <w:t>.</w:t>
      </w:r>
    </w:p>
    <w:p w14:paraId="6C8B08FD" w14:textId="1AD4C1C0" w:rsidR="00ED6AC8" w:rsidRPr="003A4591" w:rsidRDefault="00ED6AC8" w:rsidP="00340A68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ED50" w14:textId="77777777" w:rsidR="006E1995" w:rsidRDefault="006E1995" w:rsidP="00644AB4">
      <w:pPr>
        <w:spacing w:after="0" w:line="240" w:lineRule="auto"/>
      </w:pPr>
      <w:r>
        <w:separator/>
      </w:r>
    </w:p>
  </w:endnote>
  <w:endnote w:type="continuationSeparator" w:id="0">
    <w:p w14:paraId="02D57597" w14:textId="77777777" w:rsidR="006E1995" w:rsidRDefault="006E1995" w:rsidP="00644AB4">
      <w:pPr>
        <w:spacing w:after="0" w:line="240" w:lineRule="auto"/>
      </w:pPr>
      <w:r>
        <w:continuationSeparator/>
      </w:r>
    </w:p>
  </w:endnote>
  <w:endnote w:type="continuationNotice" w:id="1">
    <w:p w14:paraId="523885DA" w14:textId="77777777" w:rsidR="006E1995" w:rsidRDefault="006E1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64DB" w14:textId="77777777" w:rsidR="006E798A" w:rsidRDefault="006E7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5C43C02F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20562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6E798A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Financial Services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5C43C02F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E20562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6E798A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Financial Services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8DF7" w14:textId="77777777" w:rsidR="006E798A" w:rsidRDefault="006E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F6A8" w14:textId="77777777" w:rsidR="006E1995" w:rsidRDefault="006E1995" w:rsidP="00644AB4">
      <w:pPr>
        <w:spacing w:after="0" w:line="240" w:lineRule="auto"/>
      </w:pPr>
      <w:r>
        <w:separator/>
      </w:r>
    </w:p>
  </w:footnote>
  <w:footnote w:type="continuationSeparator" w:id="0">
    <w:p w14:paraId="4BF10AF0" w14:textId="77777777" w:rsidR="006E1995" w:rsidRDefault="006E1995" w:rsidP="00644AB4">
      <w:pPr>
        <w:spacing w:after="0" w:line="240" w:lineRule="auto"/>
      </w:pPr>
      <w:r>
        <w:continuationSeparator/>
      </w:r>
    </w:p>
  </w:footnote>
  <w:footnote w:type="continuationNotice" w:id="1">
    <w:p w14:paraId="4444D2CB" w14:textId="77777777" w:rsidR="006E1995" w:rsidRDefault="006E1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CED"/>
    <w:multiLevelType w:val="hybridMultilevel"/>
    <w:tmpl w:val="70645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73AD"/>
    <w:multiLevelType w:val="hybridMultilevel"/>
    <w:tmpl w:val="15ACC9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97A02"/>
    <w:multiLevelType w:val="hybridMultilevel"/>
    <w:tmpl w:val="D50492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1142D"/>
    <w:multiLevelType w:val="hybridMultilevel"/>
    <w:tmpl w:val="66EAA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0608A"/>
    <w:multiLevelType w:val="hybridMultilevel"/>
    <w:tmpl w:val="C5B44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C2324"/>
    <w:multiLevelType w:val="hybridMultilevel"/>
    <w:tmpl w:val="8A0A15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D0BC4"/>
    <w:multiLevelType w:val="hybridMultilevel"/>
    <w:tmpl w:val="063EE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E0326"/>
    <w:multiLevelType w:val="hybridMultilevel"/>
    <w:tmpl w:val="E2881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738F0"/>
    <w:multiLevelType w:val="hybridMultilevel"/>
    <w:tmpl w:val="19E852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E006A"/>
    <w:multiLevelType w:val="hybridMultilevel"/>
    <w:tmpl w:val="FDB0D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E0794A"/>
    <w:multiLevelType w:val="hybridMultilevel"/>
    <w:tmpl w:val="D690EE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85436"/>
    <w:multiLevelType w:val="hybridMultilevel"/>
    <w:tmpl w:val="E8CC7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976017"/>
    <w:multiLevelType w:val="hybridMultilevel"/>
    <w:tmpl w:val="4B661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FB648A"/>
    <w:multiLevelType w:val="hybridMultilevel"/>
    <w:tmpl w:val="AFBC4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466432"/>
    <w:multiLevelType w:val="hybridMultilevel"/>
    <w:tmpl w:val="59E61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591E2E"/>
    <w:multiLevelType w:val="hybridMultilevel"/>
    <w:tmpl w:val="0226C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6B6183"/>
    <w:multiLevelType w:val="hybridMultilevel"/>
    <w:tmpl w:val="31FA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704877"/>
    <w:multiLevelType w:val="hybridMultilevel"/>
    <w:tmpl w:val="775A4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D6770"/>
    <w:multiLevelType w:val="hybridMultilevel"/>
    <w:tmpl w:val="0CBA77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54465"/>
    <w:multiLevelType w:val="hybridMultilevel"/>
    <w:tmpl w:val="42BE0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13421"/>
    <w:multiLevelType w:val="hybridMultilevel"/>
    <w:tmpl w:val="2CE01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3"/>
  </w:num>
  <w:num w:numId="3" w16cid:durableId="1566063124">
    <w:abstractNumId w:val="21"/>
  </w:num>
  <w:num w:numId="4" w16cid:durableId="958532052">
    <w:abstractNumId w:val="11"/>
  </w:num>
  <w:num w:numId="5" w16cid:durableId="1317491603">
    <w:abstractNumId w:val="25"/>
  </w:num>
  <w:num w:numId="6" w16cid:durableId="1117258763">
    <w:abstractNumId w:val="23"/>
  </w:num>
  <w:num w:numId="7" w16cid:durableId="567155146">
    <w:abstractNumId w:val="8"/>
  </w:num>
  <w:num w:numId="8" w16cid:durableId="1656181461">
    <w:abstractNumId w:val="28"/>
  </w:num>
  <w:num w:numId="9" w16cid:durableId="1411274384">
    <w:abstractNumId w:val="3"/>
  </w:num>
  <w:num w:numId="10" w16cid:durableId="946237878">
    <w:abstractNumId w:val="4"/>
  </w:num>
  <w:num w:numId="11" w16cid:durableId="957218821">
    <w:abstractNumId w:val="24"/>
  </w:num>
  <w:num w:numId="12" w16cid:durableId="1621372447">
    <w:abstractNumId w:val="6"/>
  </w:num>
  <w:num w:numId="13" w16cid:durableId="1358695934">
    <w:abstractNumId w:val="29"/>
  </w:num>
  <w:num w:numId="14" w16cid:durableId="2064911753">
    <w:abstractNumId w:val="27"/>
  </w:num>
  <w:num w:numId="15" w16cid:durableId="83115217">
    <w:abstractNumId w:val="26"/>
  </w:num>
  <w:num w:numId="16" w16cid:durableId="1793399900">
    <w:abstractNumId w:val="7"/>
  </w:num>
  <w:num w:numId="17" w16cid:durableId="510798141">
    <w:abstractNumId w:val="22"/>
  </w:num>
  <w:num w:numId="18" w16cid:durableId="1916087176">
    <w:abstractNumId w:val="15"/>
  </w:num>
  <w:num w:numId="19" w16cid:durableId="2133473395">
    <w:abstractNumId w:val="17"/>
  </w:num>
  <w:num w:numId="20" w16cid:durableId="2086293751">
    <w:abstractNumId w:val="19"/>
  </w:num>
  <w:num w:numId="21" w16cid:durableId="486746315">
    <w:abstractNumId w:val="5"/>
  </w:num>
  <w:num w:numId="22" w16cid:durableId="265356285">
    <w:abstractNumId w:val="9"/>
  </w:num>
  <w:num w:numId="23" w16cid:durableId="1846359536">
    <w:abstractNumId w:val="1"/>
  </w:num>
  <w:num w:numId="24" w16cid:durableId="655770299">
    <w:abstractNumId w:val="12"/>
  </w:num>
  <w:num w:numId="25" w16cid:durableId="1775903011">
    <w:abstractNumId w:val="2"/>
  </w:num>
  <w:num w:numId="26" w16cid:durableId="236089736">
    <w:abstractNumId w:val="20"/>
  </w:num>
  <w:num w:numId="27" w16cid:durableId="1855419479">
    <w:abstractNumId w:val="30"/>
  </w:num>
  <w:num w:numId="28" w16cid:durableId="604196814">
    <w:abstractNumId w:val="16"/>
  </w:num>
  <w:num w:numId="29" w16cid:durableId="528496056">
    <w:abstractNumId w:val="10"/>
  </w:num>
  <w:num w:numId="30" w16cid:durableId="914389512">
    <w:abstractNumId w:val="18"/>
  </w:num>
  <w:num w:numId="31" w16cid:durableId="138059172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61D8"/>
    <w:rsid w:val="00201D55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7B46"/>
    <w:rsid w:val="00305758"/>
    <w:rsid w:val="003208E2"/>
    <w:rsid w:val="00326126"/>
    <w:rsid w:val="00330C31"/>
    <w:rsid w:val="0033146D"/>
    <w:rsid w:val="0033683B"/>
    <w:rsid w:val="00340A68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9441F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1995"/>
    <w:rsid w:val="006E4871"/>
    <w:rsid w:val="006E798A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8F1B83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49B6"/>
    <w:rsid w:val="00A062CA"/>
    <w:rsid w:val="00A06CF8"/>
    <w:rsid w:val="00A072A4"/>
    <w:rsid w:val="00A1501F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7543E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046E"/>
    <w:rsid w:val="00B14B08"/>
    <w:rsid w:val="00B2329B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1792"/>
    <w:rsid w:val="00BD4B20"/>
    <w:rsid w:val="00BD5FBC"/>
    <w:rsid w:val="00BD7EC5"/>
    <w:rsid w:val="00BE18D6"/>
    <w:rsid w:val="00BE2D27"/>
    <w:rsid w:val="00BE5BB8"/>
    <w:rsid w:val="00BE61AF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0FA8"/>
    <w:rsid w:val="00CA5F4D"/>
    <w:rsid w:val="00CA7A3F"/>
    <w:rsid w:val="00CB5425"/>
    <w:rsid w:val="00CC3738"/>
    <w:rsid w:val="00CC5141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37DB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0562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45EC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535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2385</Characters>
  <Application>Microsoft Office Word</Application>
  <DocSecurity>0</DocSecurity>
  <Lines>50</Lines>
  <Paragraphs>43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9</cp:revision>
  <cp:lastPrinted>2026-01-28T20:01:00Z</cp:lastPrinted>
  <dcterms:created xsi:type="dcterms:W3CDTF">2026-02-23T20:36:00Z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