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545C67" w:rsidRPr="000F64EB" w14:paraId="46EBE068" w14:textId="77777777" w:rsidTr="00A819DC">
        <w:trPr>
          <w:trHeight w:val="1262"/>
        </w:trPr>
        <w:tc>
          <w:tcPr>
            <w:tcW w:w="9459" w:type="dxa"/>
          </w:tcPr>
          <w:p w14:paraId="3F5BFC53" w14:textId="404B78A4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87557F" w:rsidRPr="00970893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BCS365 </w:t>
            </w:r>
            <w:r w:rsidR="00C67333">
              <w:rPr>
                <w:rFonts w:ascii="Aptos Display" w:hAnsi="Aptos Display" w:cs="Calibri"/>
                <w:b/>
                <w:bCs/>
                <w:sz w:val="48"/>
                <w:szCs w:val="48"/>
              </w:rPr>
              <w:t>Co-Sell Proces</w:t>
            </w:r>
            <w:r w:rsidR="00834B05">
              <w:rPr>
                <w:rFonts w:ascii="Aptos Display" w:hAnsi="Aptos Display" w:cs="Calibri"/>
                <w:b/>
                <w:bCs/>
                <w:sz w:val="48"/>
                <w:szCs w:val="48"/>
              </w:rPr>
              <w:t>s</w:t>
            </w:r>
          </w:p>
        </w:tc>
      </w:tr>
    </w:tbl>
    <w:p w14:paraId="3F5BE322" w14:textId="44512A2F" w:rsidR="00DE3C13" w:rsidRPr="004F233B" w:rsidRDefault="00940CD5" w:rsidP="00DE3C13">
      <w:pPr>
        <w:rPr>
          <w:rFonts w:ascii="Aptos Display" w:hAnsi="Aptos Display"/>
        </w:rPr>
      </w:pPr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EAB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53B3" id="Arrow: Pentagon 3" o:spid="_x0000_s1026" type="#_x0000_t15" style="position:absolute;margin-left:-63.75pt;margin-top:-22.5pt;width:117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4928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33B">
        <w:rPr>
          <w:rFonts w:ascii="Aptos Display" w:hAnsi="Aptos Display"/>
          <w:i/>
          <w:sz w:val="24"/>
        </w:rPr>
        <w:t>A trust-first engagement model for AVANT Trusted Advisors</w:t>
      </w:r>
    </w:p>
    <w:p w14:paraId="3FD7899A" w14:textId="77777777" w:rsidR="00541207" w:rsidRPr="00940CD5" w:rsidRDefault="00541207" w:rsidP="00EF616D">
      <w:pPr>
        <w:pStyle w:val="Heading1"/>
        <w:spacing w:after="0"/>
        <w:rPr>
          <w:rFonts w:ascii="Aptos Display" w:hAnsi="Aptos Display"/>
          <w:color w:val="FF3000"/>
        </w:rPr>
      </w:pPr>
      <w:r w:rsidRPr="00940CD5">
        <w:rPr>
          <w:rFonts w:ascii="Aptos Display" w:hAnsi="Aptos Display"/>
          <w:color w:val="FF3000"/>
        </w:rPr>
        <w:t>Purpose</w:t>
      </w:r>
    </w:p>
    <w:p w14:paraId="0E9BE3D8" w14:textId="77777777" w:rsidR="008341CD" w:rsidRPr="006F35CD" w:rsidRDefault="008341CD" w:rsidP="008341CD">
      <w:pPr>
        <w:rPr>
          <w:rFonts w:ascii="Aptos Display" w:hAnsi="Aptos Display"/>
        </w:rPr>
      </w:pPr>
      <w:r w:rsidRPr="006F35CD">
        <w:rPr>
          <w:rFonts w:ascii="Aptos Display" w:hAnsi="Aptos Display"/>
        </w:rPr>
        <w:t>This document explains how BCS365 engages with AVANT Trusted Advisors in a co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sell model. It is designed to remove uncertainty, protect advisor ownership of the customer relationship, and clearly define roles throughout the sales, delivery, and support lifecycle.</w:t>
      </w:r>
    </w:p>
    <w:p w14:paraId="38ABBCB8" w14:textId="77777777" w:rsidR="00970893" w:rsidRPr="00970893" w:rsidRDefault="00970893" w:rsidP="00970893">
      <w:pPr>
        <w:pStyle w:val="Heading1"/>
        <w:spacing w:after="0"/>
        <w:rPr>
          <w:rFonts w:ascii="Aptos Display" w:hAnsi="Aptos Display"/>
          <w:color w:val="FF3000"/>
        </w:rPr>
      </w:pPr>
      <w:r w:rsidRPr="00970893">
        <w:rPr>
          <w:rFonts w:ascii="Aptos Display" w:hAnsi="Aptos Display"/>
          <w:color w:val="FF3000"/>
        </w:rPr>
        <w:t>Guiding Principles</w:t>
      </w:r>
    </w:p>
    <w:p w14:paraId="2F73C413" w14:textId="77777777" w:rsidR="00970893" w:rsidRPr="006F35CD" w:rsidRDefault="00970893" w:rsidP="00970893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 xml:space="preserve">Advisor </w:t>
      </w:r>
      <w:proofErr w:type="gramStart"/>
      <w:r w:rsidRPr="006F35CD">
        <w:rPr>
          <w:rFonts w:ascii="Aptos Display" w:hAnsi="Aptos Display"/>
        </w:rPr>
        <w:t>remains the primary owner of the customer relationship at all times</w:t>
      </w:r>
      <w:proofErr w:type="gramEnd"/>
      <w:r w:rsidRPr="006F35CD">
        <w:rPr>
          <w:rFonts w:ascii="Aptos Display" w:hAnsi="Aptos Display"/>
        </w:rPr>
        <w:t>.</w:t>
      </w:r>
    </w:p>
    <w:p w14:paraId="0735CF98" w14:textId="77777777" w:rsidR="00970893" w:rsidRPr="006F35CD" w:rsidRDefault="00970893" w:rsidP="00970893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BCS365 does not direct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sell or market into AVANT partner accounts.</w:t>
      </w:r>
    </w:p>
    <w:p w14:paraId="3669A0A8" w14:textId="77777777" w:rsidR="00970893" w:rsidRPr="006F35CD" w:rsidRDefault="00970893" w:rsidP="00970893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Engagement model is flexible: white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 xml:space="preserve">label </w:t>
      </w:r>
      <w:proofErr w:type="gramStart"/>
      <w:r w:rsidRPr="006F35CD">
        <w:rPr>
          <w:rFonts w:ascii="Aptos Display" w:hAnsi="Aptos Display"/>
        </w:rPr>
        <w:t>or co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branded</w:t>
      </w:r>
      <w:proofErr w:type="gramEnd"/>
      <w:r w:rsidRPr="006F35CD">
        <w:rPr>
          <w:rFonts w:ascii="Aptos Display" w:hAnsi="Aptos Display"/>
        </w:rPr>
        <w:t xml:space="preserve"> at the advisor</w:t>
      </w:r>
      <w:r w:rsidRPr="006F35CD">
        <w:rPr>
          <w:rFonts w:ascii="Aptos Display" w:hAnsi="Aptos Display" w:cs="Aptos Display"/>
        </w:rPr>
        <w:t>’</w:t>
      </w:r>
      <w:r w:rsidRPr="006F35CD">
        <w:rPr>
          <w:rFonts w:ascii="Aptos Display" w:hAnsi="Aptos Display"/>
        </w:rPr>
        <w:t>s discretion.</w:t>
      </w:r>
    </w:p>
    <w:p w14:paraId="0D452DD8" w14:textId="77777777" w:rsidR="00970893" w:rsidRPr="006F35CD" w:rsidRDefault="00970893" w:rsidP="00970893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Clear roles, escalation paths, and accountability from discovery through ongoing support.</w:t>
      </w:r>
    </w:p>
    <w:p w14:paraId="31FC5EA8" w14:textId="77777777" w:rsidR="00970893" w:rsidRPr="00970893" w:rsidRDefault="00970893" w:rsidP="00970893">
      <w:pPr>
        <w:pStyle w:val="Heading1"/>
        <w:spacing w:after="0"/>
        <w:rPr>
          <w:rFonts w:ascii="Aptos Display" w:hAnsi="Aptos Display"/>
          <w:color w:val="FF3000"/>
        </w:rPr>
      </w:pPr>
      <w:r w:rsidRPr="00970893">
        <w:rPr>
          <w:rFonts w:ascii="Aptos Display" w:hAnsi="Aptos Display"/>
          <w:color w:val="FF3000"/>
        </w:rPr>
        <w:t>BCS365 Co</w:t>
      </w:r>
      <w:r w:rsidRPr="00970893">
        <w:rPr>
          <w:rFonts w:ascii="Cambria Math" w:hAnsi="Cambria Math" w:cs="Cambria Math"/>
          <w:color w:val="FF3000"/>
        </w:rPr>
        <w:t>‑</w:t>
      </w:r>
      <w:r w:rsidRPr="00970893">
        <w:rPr>
          <w:rFonts w:ascii="Aptos Display" w:hAnsi="Aptos Display"/>
          <w:color w:val="FF3000"/>
        </w:rPr>
        <w:t>Sell Engagement Flow</w:t>
      </w:r>
    </w:p>
    <w:p w14:paraId="39C82CCC" w14:textId="77777777" w:rsidR="00970893" w:rsidRPr="005A25BF" w:rsidRDefault="00970893" w:rsidP="00970893">
      <w:pPr>
        <w:pStyle w:val="Heading2"/>
        <w:rPr>
          <w:rFonts w:ascii="Aptos Display" w:hAnsi="Aptos Display"/>
          <w:color w:val="auto"/>
          <w:sz w:val="24"/>
          <w:szCs w:val="24"/>
        </w:rPr>
      </w:pPr>
      <w:r w:rsidRPr="005A25BF">
        <w:rPr>
          <w:rFonts w:ascii="Aptos Display" w:hAnsi="Aptos Display"/>
          <w:color w:val="auto"/>
          <w:sz w:val="24"/>
          <w:szCs w:val="24"/>
        </w:rPr>
        <w:t>Step 1: Advisor Owns the Relationship</w:t>
      </w:r>
    </w:p>
    <w:p w14:paraId="4F6B58D0" w14:textId="77777777" w:rsidR="00970893" w:rsidRPr="006F35CD" w:rsidRDefault="00970893" w:rsidP="00970893">
      <w:pPr>
        <w:rPr>
          <w:rFonts w:ascii="Aptos Display" w:hAnsi="Aptos Display"/>
        </w:rPr>
      </w:pPr>
      <w:r w:rsidRPr="006F35CD">
        <w:rPr>
          <w:rFonts w:ascii="Aptos Display" w:hAnsi="Aptos Display"/>
        </w:rPr>
        <w:t>The AVANT Trusted Advisor leads the account and controls all commercial conversations. BCS365 operates as a supporting MSP resource, never as the primary vendor.</w:t>
      </w:r>
    </w:p>
    <w:p w14:paraId="643B0112" w14:textId="77777777" w:rsidR="00970893" w:rsidRPr="006F35CD" w:rsidRDefault="00970893" w:rsidP="00970893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Advisor identifies the opportunity and initiates engagement.</w:t>
      </w:r>
    </w:p>
    <w:p w14:paraId="46A503C1" w14:textId="77777777" w:rsidR="00970893" w:rsidRPr="006F35CD" w:rsidRDefault="00970893" w:rsidP="00970893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Advisor remains the main point of contact for the customer.</w:t>
      </w:r>
    </w:p>
    <w:p w14:paraId="438DD263" w14:textId="77777777" w:rsidR="00970893" w:rsidRPr="006F35CD" w:rsidRDefault="00970893" w:rsidP="00970893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BCS365 engagement style (white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label or co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sell) is determined by the advisor.</w:t>
      </w:r>
    </w:p>
    <w:p w14:paraId="32CD008C" w14:textId="77777777" w:rsidR="00970893" w:rsidRPr="005A25BF" w:rsidRDefault="00970893" w:rsidP="00970893">
      <w:pPr>
        <w:pStyle w:val="Heading2"/>
        <w:rPr>
          <w:rFonts w:ascii="Aptos Display" w:hAnsi="Aptos Display"/>
          <w:color w:val="auto"/>
          <w:sz w:val="24"/>
          <w:szCs w:val="24"/>
        </w:rPr>
      </w:pPr>
      <w:r w:rsidRPr="005A25BF">
        <w:rPr>
          <w:rFonts w:ascii="Aptos Display" w:hAnsi="Aptos Display"/>
          <w:color w:val="auto"/>
          <w:sz w:val="24"/>
          <w:szCs w:val="24"/>
        </w:rPr>
        <w:t>Step 2: Discovery &amp; Needs Assessment</w:t>
      </w:r>
    </w:p>
    <w:p w14:paraId="7D9AD9DD" w14:textId="503C70C3" w:rsidR="00970893" w:rsidRPr="006F35CD" w:rsidRDefault="00970893" w:rsidP="00970893">
      <w:pPr>
        <w:rPr>
          <w:rFonts w:ascii="Aptos Display" w:hAnsi="Aptos Display"/>
        </w:rPr>
      </w:pPr>
      <w:r w:rsidRPr="006F35CD">
        <w:rPr>
          <w:rFonts w:ascii="Aptos Display" w:hAnsi="Aptos Display"/>
        </w:rPr>
        <w:t>BCS365 supports discovery to validate technical requirements, risks, and scope</w:t>
      </w:r>
      <w:r w:rsidR="004132ED">
        <w:rPr>
          <w:rFonts w:ascii="Aptos Display" w:hAnsi="Aptos Display"/>
        </w:rPr>
        <w:t xml:space="preserve">, </w:t>
      </w:r>
      <w:r w:rsidRPr="006F35CD">
        <w:rPr>
          <w:rFonts w:ascii="Aptos Display" w:hAnsi="Aptos Display"/>
        </w:rPr>
        <w:t>either behind the scenes or directly with the customer, based on advisor preference.</w:t>
      </w:r>
    </w:p>
    <w:p w14:paraId="38A4FFC7" w14:textId="77777777" w:rsidR="00970893" w:rsidRPr="006F35CD" w:rsidRDefault="00970893" w:rsidP="00970893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Optional 30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minute Fast Scope call with advisor and BCS365.</w:t>
      </w:r>
    </w:p>
    <w:p w14:paraId="2CF53EF3" w14:textId="77777777" w:rsidR="00970893" w:rsidRPr="006F35CD" w:rsidRDefault="00970893" w:rsidP="00970893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Identification of IT, security, cloud, and compliance gaps.</w:t>
      </w:r>
    </w:p>
    <w:p w14:paraId="577CB8F5" w14:textId="77777777" w:rsidR="00970893" w:rsidRPr="006F35CD" w:rsidRDefault="00970893" w:rsidP="00970893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No disruption to the advisor’s existing sales motion.</w:t>
      </w:r>
    </w:p>
    <w:p w14:paraId="66D0702F" w14:textId="77777777" w:rsidR="00970893" w:rsidRPr="005A25BF" w:rsidRDefault="00970893" w:rsidP="00970893">
      <w:pPr>
        <w:pStyle w:val="Heading2"/>
        <w:rPr>
          <w:rFonts w:ascii="Aptos Display" w:hAnsi="Aptos Display"/>
          <w:color w:val="auto"/>
          <w:sz w:val="24"/>
          <w:szCs w:val="24"/>
        </w:rPr>
      </w:pPr>
      <w:r w:rsidRPr="005A25BF">
        <w:rPr>
          <w:rFonts w:ascii="Aptos Display" w:hAnsi="Aptos Display"/>
          <w:color w:val="auto"/>
          <w:sz w:val="24"/>
          <w:szCs w:val="24"/>
        </w:rPr>
        <w:t>Step 3: Joint Solution Design</w:t>
      </w:r>
    </w:p>
    <w:p w14:paraId="656CAB77" w14:textId="77777777" w:rsidR="00970893" w:rsidRPr="006F35CD" w:rsidRDefault="00970893" w:rsidP="00970893">
      <w:pPr>
        <w:rPr>
          <w:rFonts w:ascii="Aptos Display" w:hAnsi="Aptos Display"/>
        </w:rPr>
      </w:pPr>
      <w:r w:rsidRPr="006F35CD">
        <w:rPr>
          <w:rFonts w:ascii="Aptos Display" w:hAnsi="Aptos Display"/>
        </w:rPr>
        <w:t>BCS365 provides technical recommendations and phased roadmaps while the advisor controls solution packaging and positioning.</w:t>
      </w:r>
    </w:p>
    <w:p w14:paraId="14FADFC1" w14:textId="77777777" w:rsidR="00970893" w:rsidRPr="006F35CD" w:rsidRDefault="00970893" w:rsidP="00970893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Phased, low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risk approach to MSP attachment.</w:t>
      </w:r>
    </w:p>
    <w:p w14:paraId="7766BBB0" w14:textId="77777777" w:rsidR="00970893" w:rsidRPr="006F35CD" w:rsidRDefault="00970893" w:rsidP="00970893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Security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 xml:space="preserve"> and compliance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aware solution design.</w:t>
      </w:r>
    </w:p>
    <w:p w14:paraId="3B3B4134" w14:textId="77777777" w:rsidR="00970893" w:rsidRPr="006F35CD" w:rsidRDefault="00970893" w:rsidP="00970893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Reduced implementation and post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sale risk.</w:t>
      </w:r>
    </w:p>
    <w:p w14:paraId="6B4141E1" w14:textId="77777777" w:rsidR="00970893" w:rsidRPr="005A25BF" w:rsidRDefault="00970893" w:rsidP="00970893">
      <w:pPr>
        <w:pStyle w:val="Heading2"/>
        <w:rPr>
          <w:rFonts w:ascii="Aptos Display" w:hAnsi="Aptos Display"/>
          <w:color w:val="auto"/>
          <w:sz w:val="24"/>
          <w:szCs w:val="24"/>
        </w:rPr>
      </w:pPr>
      <w:r w:rsidRPr="005A25BF">
        <w:rPr>
          <w:rFonts w:ascii="Aptos Display" w:hAnsi="Aptos Display"/>
          <w:color w:val="auto"/>
          <w:sz w:val="24"/>
          <w:szCs w:val="24"/>
        </w:rPr>
        <w:lastRenderedPageBreak/>
        <w:t>Step 4: Joint Presentation (Optional)</w:t>
      </w:r>
    </w:p>
    <w:p w14:paraId="41893459" w14:textId="4975EB6F" w:rsidR="00970893" w:rsidRPr="006F35CD" w:rsidRDefault="00970893" w:rsidP="00970893">
      <w:pPr>
        <w:rPr>
          <w:rFonts w:ascii="Aptos Display" w:hAnsi="Aptos Display"/>
        </w:rPr>
      </w:pPr>
      <w:r w:rsidRPr="006F35CD">
        <w:rPr>
          <w:rFonts w:ascii="Aptos Display" w:hAnsi="Aptos Display"/>
        </w:rPr>
        <w:t>The advisor determines how BCS365 is introduced to the customer</w:t>
      </w:r>
      <w:r w:rsidR="004132ED">
        <w:rPr>
          <w:rFonts w:ascii="Aptos Display" w:hAnsi="Aptos Display"/>
        </w:rPr>
        <w:t xml:space="preserve">, </w:t>
      </w:r>
      <w:r w:rsidRPr="006F35CD">
        <w:rPr>
          <w:rFonts w:ascii="Aptos Display" w:hAnsi="Aptos Display"/>
        </w:rPr>
        <w:t>or whether BCS365 remains fully behind the scenes.</w:t>
      </w:r>
    </w:p>
    <w:p w14:paraId="47AA0B7B" w14:textId="77777777" w:rsidR="00970893" w:rsidRPr="006F35CD" w:rsidRDefault="00970893" w:rsidP="00970893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Advisor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only presentation.</w:t>
      </w:r>
    </w:p>
    <w:p w14:paraId="61873CA8" w14:textId="77777777" w:rsidR="00970893" w:rsidRPr="006F35CD" w:rsidRDefault="00970893" w:rsidP="00970893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Joint presentation with BCS365 as an MSP partner or operations team.</w:t>
      </w:r>
    </w:p>
    <w:p w14:paraId="1C2EE41B" w14:textId="77777777" w:rsidR="00970893" w:rsidRPr="006F35CD" w:rsidRDefault="00970893" w:rsidP="00970893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BCS365 never positions itself as the primary vendor.</w:t>
      </w:r>
    </w:p>
    <w:p w14:paraId="4DF1A8F0" w14:textId="77777777" w:rsidR="00970893" w:rsidRPr="005A25BF" w:rsidRDefault="00970893" w:rsidP="00970893">
      <w:pPr>
        <w:pStyle w:val="Heading2"/>
        <w:rPr>
          <w:rFonts w:ascii="Aptos Display" w:hAnsi="Aptos Display"/>
          <w:color w:val="auto"/>
          <w:sz w:val="24"/>
          <w:szCs w:val="24"/>
        </w:rPr>
      </w:pPr>
      <w:r w:rsidRPr="005A25BF">
        <w:rPr>
          <w:rFonts w:ascii="Aptos Display" w:hAnsi="Aptos Display"/>
          <w:color w:val="auto"/>
          <w:sz w:val="24"/>
          <w:szCs w:val="24"/>
        </w:rPr>
        <w:t>Step 5: Implementation &amp; Delivery</w:t>
      </w:r>
    </w:p>
    <w:p w14:paraId="4AEAE3D1" w14:textId="77777777" w:rsidR="00970893" w:rsidRPr="006F35CD" w:rsidRDefault="00970893" w:rsidP="00970893">
      <w:pPr>
        <w:rPr>
          <w:rFonts w:ascii="Aptos Display" w:hAnsi="Aptos Display"/>
        </w:rPr>
      </w:pPr>
      <w:r w:rsidRPr="006F35CD">
        <w:rPr>
          <w:rFonts w:ascii="Aptos Display" w:hAnsi="Aptos Display"/>
        </w:rPr>
        <w:t>BCS365 assumes responsibility for onboarding, deployment, and stabilization while keeping the advisor informed but not burdened.</w:t>
      </w:r>
    </w:p>
    <w:p w14:paraId="3032A098" w14:textId="77777777" w:rsidR="00970893" w:rsidRPr="006F35CD" w:rsidRDefault="00970893" w:rsidP="00970893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Defined SLAs, escalation paths, and ownership.</w:t>
      </w:r>
    </w:p>
    <w:p w14:paraId="2147AEA1" w14:textId="77777777" w:rsidR="00970893" w:rsidRPr="006F35CD" w:rsidRDefault="00970893" w:rsidP="00970893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Minimal advisor involvement required during delivery.</w:t>
      </w:r>
    </w:p>
    <w:p w14:paraId="56030DEF" w14:textId="77777777" w:rsidR="00970893" w:rsidRPr="006F35CD" w:rsidRDefault="00970893" w:rsidP="00970893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Predictable, professional implementation experience.</w:t>
      </w:r>
    </w:p>
    <w:p w14:paraId="4E3A738C" w14:textId="77777777" w:rsidR="00970893" w:rsidRPr="005A25BF" w:rsidRDefault="00970893" w:rsidP="00970893">
      <w:pPr>
        <w:pStyle w:val="Heading2"/>
        <w:rPr>
          <w:rFonts w:ascii="Aptos Display" w:hAnsi="Aptos Display"/>
          <w:color w:val="auto"/>
          <w:sz w:val="24"/>
          <w:szCs w:val="24"/>
        </w:rPr>
      </w:pPr>
      <w:r w:rsidRPr="005A25BF">
        <w:rPr>
          <w:rFonts w:ascii="Aptos Display" w:hAnsi="Aptos Display"/>
          <w:color w:val="auto"/>
          <w:sz w:val="24"/>
          <w:szCs w:val="24"/>
        </w:rPr>
        <w:t>Step 6: Ongoing Management &amp; Support</w:t>
      </w:r>
    </w:p>
    <w:p w14:paraId="336FA703" w14:textId="77777777" w:rsidR="00970893" w:rsidRPr="006F35CD" w:rsidRDefault="00970893" w:rsidP="00970893">
      <w:pPr>
        <w:rPr>
          <w:rFonts w:ascii="Aptos Display" w:hAnsi="Aptos Display"/>
        </w:rPr>
      </w:pPr>
      <w:r w:rsidRPr="006F35CD">
        <w:rPr>
          <w:rFonts w:ascii="Aptos Display" w:hAnsi="Aptos Display"/>
        </w:rPr>
        <w:t>BCS365 delivers ongoing managed services through its 24/7/365 operations model, ensuring consistent performance and customer satisfaction.</w:t>
      </w:r>
    </w:p>
    <w:p w14:paraId="5D67002B" w14:textId="77777777" w:rsidR="00970893" w:rsidRPr="006F35CD" w:rsidRDefault="00970893" w:rsidP="00970893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24/7/365 help desk, NOC, and SOC support.</w:t>
      </w:r>
    </w:p>
    <w:p w14:paraId="537E68E8" w14:textId="77777777" w:rsidR="00970893" w:rsidRPr="006F35CD" w:rsidRDefault="00970893" w:rsidP="00970893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Proactive monitoring, remediation, and security operations.</w:t>
      </w:r>
    </w:p>
    <w:p w14:paraId="338B6CB7" w14:textId="77777777" w:rsidR="00970893" w:rsidRPr="006F35CD" w:rsidRDefault="00970893" w:rsidP="00970893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 xml:space="preserve">Quarterly reviews </w:t>
      </w:r>
      <w:proofErr w:type="gramStart"/>
      <w:r w:rsidRPr="006F35CD">
        <w:rPr>
          <w:rFonts w:ascii="Aptos Display" w:hAnsi="Aptos Display"/>
        </w:rPr>
        <w:t>available</w:t>
      </w:r>
      <w:proofErr w:type="gramEnd"/>
      <w:r w:rsidRPr="006F35CD">
        <w:rPr>
          <w:rFonts w:ascii="Aptos Display" w:hAnsi="Aptos Display"/>
        </w:rPr>
        <w:t xml:space="preserve"> with or without advisor participation.</w:t>
      </w:r>
    </w:p>
    <w:p w14:paraId="06D6798F" w14:textId="77777777" w:rsidR="00970893" w:rsidRPr="00970893" w:rsidRDefault="00970893" w:rsidP="00970893">
      <w:pPr>
        <w:pStyle w:val="Heading1"/>
        <w:spacing w:after="0"/>
        <w:rPr>
          <w:rFonts w:ascii="Aptos Display" w:hAnsi="Aptos Display"/>
          <w:color w:val="FF3000"/>
        </w:rPr>
      </w:pPr>
      <w:r w:rsidRPr="00970893">
        <w:rPr>
          <w:rFonts w:ascii="Aptos Display" w:hAnsi="Aptos Display"/>
          <w:color w:val="FF3000"/>
        </w:rPr>
        <w:t>What Never Changes</w:t>
      </w:r>
    </w:p>
    <w:p w14:paraId="6D020497" w14:textId="77777777" w:rsidR="00970893" w:rsidRPr="006F35CD" w:rsidRDefault="00970893" w:rsidP="00970893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Advisor retains full ownership of the customer relationship.</w:t>
      </w:r>
    </w:p>
    <w:p w14:paraId="0177040E" w14:textId="77777777" w:rsidR="00970893" w:rsidRPr="006F35CD" w:rsidRDefault="00970893" w:rsidP="00970893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No channel conflict or direct selling by BCS365.</w:t>
      </w:r>
    </w:p>
    <w:p w14:paraId="4DE32F7A" w14:textId="77777777" w:rsidR="00970893" w:rsidRPr="006F35CD" w:rsidRDefault="00970893" w:rsidP="00970893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Transparent communication and clearly defined roles.</w:t>
      </w:r>
    </w:p>
    <w:p w14:paraId="1FA14379" w14:textId="77777777" w:rsidR="00970893" w:rsidRPr="006F35CD" w:rsidRDefault="00970893" w:rsidP="00970893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Flexible delivery models aligned to advisor preference.</w:t>
      </w:r>
    </w:p>
    <w:p w14:paraId="08A64A55" w14:textId="77777777" w:rsidR="00970893" w:rsidRPr="00970893" w:rsidRDefault="00970893" w:rsidP="00970893">
      <w:pPr>
        <w:pStyle w:val="Heading1"/>
        <w:spacing w:after="0"/>
        <w:rPr>
          <w:rFonts w:ascii="Aptos Display" w:hAnsi="Aptos Display"/>
          <w:color w:val="FF3000"/>
        </w:rPr>
      </w:pPr>
      <w:r w:rsidRPr="00970893">
        <w:rPr>
          <w:rFonts w:ascii="Aptos Display" w:hAnsi="Aptos Display"/>
          <w:color w:val="FF3000"/>
        </w:rPr>
        <w:t>Why This Model Works for AVANT Partners</w:t>
      </w:r>
    </w:p>
    <w:p w14:paraId="6E7E5C64" w14:textId="77777777" w:rsidR="00970893" w:rsidRPr="006F35CD" w:rsidRDefault="00970893" w:rsidP="00970893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Enables larger, more complex deals without building internal MSP operations.</w:t>
      </w:r>
    </w:p>
    <w:p w14:paraId="00AB6D68" w14:textId="77777777" w:rsidR="00970893" w:rsidRPr="006F35CD" w:rsidRDefault="00970893" w:rsidP="00970893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Reduces post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sale escalations and delivery risk.</w:t>
      </w:r>
    </w:p>
    <w:p w14:paraId="4B90D2AC" w14:textId="77777777" w:rsidR="00970893" w:rsidRPr="006F35CD" w:rsidRDefault="00970893" w:rsidP="00970893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Improves customer retention and long</w:t>
      </w:r>
      <w:r w:rsidRPr="006F35CD">
        <w:rPr>
          <w:rFonts w:ascii="Cambria Math" w:hAnsi="Cambria Math" w:cs="Cambria Math"/>
        </w:rPr>
        <w:t>‑</w:t>
      </w:r>
      <w:r w:rsidRPr="006F35CD">
        <w:rPr>
          <w:rFonts w:ascii="Aptos Display" w:hAnsi="Aptos Display"/>
        </w:rPr>
        <w:t>term recurring revenue.</w:t>
      </w:r>
    </w:p>
    <w:p w14:paraId="6C8B08FD" w14:textId="7B24FCCB" w:rsidR="00ED6AC8" w:rsidRPr="00970893" w:rsidRDefault="00970893" w:rsidP="00970893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6F35CD">
        <w:rPr>
          <w:rFonts w:ascii="Aptos Display" w:hAnsi="Aptos Display"/>
        </w:rPr>
        <w:t>Preserves advisor trust, credibility, and account control.</w:t>
      </w:r>
    </w:p>
    <w:sectPr w:rsidR="00ED6AC8" w:rsidRPr="00970893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417E" w14:textId="77777777" w:rsidR="0035055A" w:rsidRDefault="0035055A" w:rsidP="00644AB4">
      <w:pPr>
        <w:spacing w:after="0" w:line="240" w:lineRule="auto"/>
      </w:pPr>
      <w:r>
        <w:separator/>
      </w:r>
    </w:p>
  </w:endnote>
  <w:endnote w:type="continuationSeparator" w:id="0">
    <w:p w14:paraId="6FF37E49" w14:textId="77777777" w:rsidR="0035055A" w:rsidRDefault="0035055A" w:rsidP="00644AB4">
      <w:pPr>
        <w:spacing w:after="0" w:line="240" w:lineRule="auto"/>
      </w:pPr>
      <w:r>
        <w:continuationSeparator/>
      </w:r>
    </w:p>
  </w:endnote>
  <w:endnote w:type="continuationNotice" w:id="1">
    <w:p w14:paraId="2878B961" w14:textId="77777777" w:rsidR="0035055A" w:rsidRDefault="00350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E1D6" w14:textId="3B862C92" w:rsidR="006E66C9" w:rsidRDefault="006E66C9">
    <w:pPr>
      <w:pStyle w:val="Footer"/>
    </w:pPr>
    <w:r>
      <w:rPr>
        <w:noProof/>
      </w:rPr>
      <w:drawing>
        <wp:anchor distT="0" distB="0" distL="114300" distR="114300" simplePos="0" relativeHeight="251662341" behindDoc="1" locked="0" layoutInCell="1" allowOverlap="1" wp14:anchorId="37BD77F1" wp14:editId="3F08D0DC">
          <wp:simplePos x="0" y="0"/>
          <wp:positionH relativeFrom="leftMargin">
            <wp:posOffset>1838325</wp:posOffset>
          </wp:positionH>
          <wp:positionV relativeFrom="paragraph">
            <wp:posOffset>309880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B66784C-2CA1-4597-A14B-736B03838C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7" behindDoc="1" locked="0" layoutInCell="1" allowOverlap="1" wp14:anchorId="0404DB91" wp14:editId="300B5D58">
          <wp:simplePos x="0" y="0"/>
          <wp:positionH relativeFrom="leftMargin">
            <wp:posOffset>516255</wp:posOffset>
          </wp:positionH>
          <wp:positionV relativeFrom="paragraph">
            <wp:posOffset>320675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A99F6D9-F600-4285-844A-0EE7FE6A84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93" behindDoc="1" locked="0" layoutInCell="1" allowOverlap="1" wp14:anchorId="406907D8" wp14:editId="1D1454F1">
              <wp:simplePos x="0" y="0"/>
              <wp:positionH relativeFrom="page">
                <wp:posOffset>5080</wp:posOffset>
              </wp:positionH>
              <wp:positionV relativeFrom="paragraph">
                <wp:posOffset>263525</wp:posOffset>
              </wp:positionV>
              <wp:extent cx="7762875" cy="352425"/>
              <wp:effectExtent l="0" t="0" r="9525" b="9525"/>
              <wp:wrapNone/>
              <wp:docPr id="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CEC95E1F-AAB4-4B77-A71D-62CBCD8683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5A3536C" w14:textId="13189945" w:rsidR="006E66C9" w:rsidRPr="00D161DF" w:rsidRDefault="006E66C9" w:rsidP="006E66C9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781-870-0700                       </w:t>
                          </w:r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                                                                                   </w:t>
                          </w:r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="001B1C5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Avant Co-Sell </w:t>
                          </w:r>
                          <w:r w:rsidR="004132ED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Process </w:t>
                          </w:r>
                          <w:r w:rsidR="004132ED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|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5C4493F" w14:textId="77777777" w:rsidR="006E66C9" w:rsidRDefault="006E66C9" w:rsidP="006E66C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907D8" id="Rectangle 8" o:spid="_x0000_s1028" style="position:absolute;margin-left:.4pt;margin-top:20.75pt;width:611.25pt;height:27.75pt;z-index:-251656187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GvPyD3bAAAABwEAAA8AAABkcnMvZG93bnJldi54bWxM&#10;zkFOwzAQBdA9EnewBokdtZuQ0oZMKkCqBBukFg4wjd0kIh5HttuG2+Ou6HL0R/+/aj3ZQZyMD71j&#10;hPlMgTDcON1zi/D9tXlYggiRWNPg2CD8mgDr+vamolK7M2/NaRdbkUo4lITQxTiWUoamM5bCzI2G&#10;U3Zw3lJMp2+l9nRO5XaQmVILaanntNDRaN460/zsjhZh876I+aReG1qy3xbFR1DyMyDe300vzyCi&#10;meL/M1z4iQ51Mu3dkXUQA0JyR4THeQHikmZZnoPYI6yeFMi6ktf+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Brz8g92wAAAAcBAAAPAAAAAAAAAAAAAAAAALgEAABkcnMvZG93bnJl&#10;di54bWxQSwUGAAAAAAQABADzAAAAwAUAAAAA&#10;" fillcolor="#0458e7" stroked="f" strokeweight="1pt">
              <v:textbox>
                <w:txbxContent>
                  <w:p w14:paraId="55A3536C" w14:textId="13189945" w:rsidR="006E66C9" w:rsidRPr="00D161DF" w:rsidRDefault="006E66C9" w:rsidP="006E66C9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</w:t>
                    </w:r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781-870-0700                       </w:t>
                    </w:r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                                                                                   </w:t>
                    </w:r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</w:t>
                    </w:r>
                    <w:r w:rsidR="001B1C5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Avant Co-Sell </w:t>
                    </w:r>
                    <w:r w:rsidR="004132ED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Process </w:t>
                    </w:r>
                    <w:r w:rsidR="004132ED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|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75C4493F" w14:textId="77777777" w:rsidR="006E66C9" w:rsidRDefault="006E66C9" w:rsidP="006E66C9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EE6E" w14:textId="77777777" w:rsidR="0035055A" w:rsidRDefault="0035055A" w:rsidP="00644AB4">
      <w:pPr>
        <w:spacing w:after="0" w:line="240" w:lineRule="auto"/>
      </w:pPr>
      <w:r>
        <w:separator/>
      </w:r>
    </w:p>
  </w:footnote>
  <w:footnote w:type="continuationSeparator" w:id="0">
    <w:p w14:paraId="6F6305D6" w14:textId="77777777" w:rsidR="0035055A" w:rsidRDefault="0035055A" w:rsidP="00644AB4">
      <w:pPr>
        <w:spacing w:after="0" w:line="240" w:lineRule="auto"/>
      </w:pPr>
      <w:r>
        <w:continuationSeparator/>
      </w:r>
    </w:p>
  </w:footnote>
  <w:footnote w:type="continuationNotice" w:id="1">
    <w:p w14:paraId="7397C5E7" w14:textId="77777777" w:rsidR="0035055A" w:rsidRDefault="00350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A3877"/>
    <w:multiLevelType w:val="hybridMultilevel"/>
    <w:tmpl w:val="C1D21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97F12"/>
    <w:multiLevelType w:val="hybridMultilevel"/>
    <w:tmpl w:val="2E107A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8554B"/>
    <w:multiLevelType w:val="hybridMultilevel"/>
    <w:tmpl w:val="E566F6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41A88"/>
    <w:multiLevelType w:val="hybridMultilevel"/>
    <w:tmpl w:val="279863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936C15"/>
    <w:multiLevelType w:val="hybridMultilevel"/>
    <w:tmpl w:val="494445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01BB2"/>
    <w:multiLevelType w:val="hybridMultilevel"/>
    <w:tmpl w:val="5F22F4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B30DD"/>
    <w:multiLevelType w:val="hybridMultilevel"/>
    <w:tmpl w:val="787804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8F1057"/>
    <w:multiLevelType w:val="hybridMultilevel"/>
    <w:tmpl w:val="F822F3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3A783B"/>
    <w:multiLevelType w:val="hybridMultilevel"/>
    <w:tmpl w:val="70DAB6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C67D6A"/>
    <w:multiLevelType w:val="hybridMultilevel"/>
    <w:tmpl w:val="23526E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4"/>
  </w:num>
  <w:num w:numId="3" w16cid:durableId="1566063124">
    <w:abstractNumId w:val="15"/>
  </w:num>
  <w:num w:numId="4" w16cid:durableId="958532052">
    <w:abstractNumId w:val="10"/>
  </w:num>
  <w:num w:numId="5" w16cid:durableId="1317491603">
    <w:abstractNumId w:val="18"/>
  </w:num>
  <w:num w:numId="6" w16cid:durableId="1117258763">
    <w:abstractNumId w:val="17"/>
  </w:num>
  <w:num w:numId="7" w16cid:durableId="567155146">
    <w:abstractNumId w:val="6"/>
  </w:num>
  <w:num w:numId="8" w16cid:durableId="1656181461">
    <w:abstractNumId w:val="19"/>
  </w:num>
  <w:num w:numId="9" w16cid:durableId="1411274384">
    <w:abstractNumId w:val="1"/>
  </w:num>
  <w:num w:numId="10" w16cid:durableId="946237878">
    <w:abstractNumId w:val="5"/>
  </w:num>
  <w:num w:numId="11" w16cid:durableId="581375199">
    <w:abstractNumId w:val="16"/>
  </w:num>
  <w:num w:numId="12" w16cid:durableId="580679528">
    <w:abstractNumId w:val="3"/>
  </w:num>
  <w:num w:numId="13" w16cid:durableId="731078613">
    <w:abstractNumId w:val="11"/>
  </w:num>
  <w:num w:numId="14" w16cid:durableId="1769884173">
    <w:abstractNumId w:val="9"/>
  </w:num>
  <w:num w:numId="15" w16cid:durableId="1315639931">
    <w:abstractNumId w:val="12"/>
  </w:num>
  <w:num w:numId="16" w16cid:durableId="211432214">
    <w:abstractNumId w:val="4"/>
  </w:num>
  <w:num w:numId="17" w16cid:durableId="343750276">
    <w:abstractNumId w:val="7"/>
  </w:num>
  <w:num w:numId="18" w16cid:durableId="1887832822">
    <w:abstractNumId w:val="8"/>
  </w:num>
  <w:num w:numId="19" w16cid:durableId="869421059">
    <w:abstractNumId w:val="13"/>
  </w:num>
  <w:num w:numId="20" w16cid:durableId="19315156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7AF7"/>
    <w:rsid w:val="00183CF3"/>
    <w:rsid w:val="00185C50"/>
    <w:rsid w:val="001B1C54"/>
    <w:rsid w:val="001B4E1D"/>
    <w:rsid w:val="001B6601"/>
    <w:rsid w:val="001C5350"/>
    <w:rsid w:val="001C753D"/>
    <w:rsid w:val="001D61D8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B4FA4"/>
    <w:rsid w:val="003C3CC0"/>
    <w:rsid w:val="003E0954"/>
    <w:rsid w:val="003E4575"/>
    <w:rsid w:val="003F0151"/>
    <w:rsid w:val="003F7C12"/>
    <w:rsid w:val="004069B6"/>
    <w:rsid w:val="004132ED"/>
    <w:rsid w:val="004161AD"/>
    <w:rsid w:val="0042638E"/>
    <w:rsid w:val="004408D3"/>
    <w:rsid w:val="0045036A"/>
    <w:rsid w:val="0045338E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E2301"/>
    <w:rsid w:val="004F233B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26D24"/>
    <w:rsid w:val="005327ED"/>
    <w:rsid w:val="005409D5"/>
    <w:rsid w:val="00540BBA"/>
    <w:rsid w:val="00541207"/>
    <w:rsid w:val="00545C67"/>
    <w:rsid w:val="00557770"/>
    <w:rsid w:val="0056580D"/>
    <w:rsid w:val="00567A13"/>
    <w:rsid w:val="00570774"/>
    <w:rsid w:val="00593997"/>
    <w:rsid w:val="00595523"/>
    <w:rsid w:val="005966A4"/>
    <w:rsid w:val="005A25BF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E66C9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341CD"/>
    <w:rsid w:val="00834B05"/>
    <w:rsid w:val="0084050C"/>
    <w:rsid w:val="00840E87"/>
    <w:rsid w:val="00842A6C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CD5"/>
    <w:rsid w:val="0094242C"/>
    <w:rsid w:val="009466A6"/>
    <w:rsid w:val="009471DF"/>
    <w:rsid w:val="00960411"/>
    <w:rsid w:val="00970893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19DC"/>
    <w:rsid w:val="00A846AE"/>
    <w:rsid w:val="00A87BF3"/>
    <w:rsid w:val="00A90103"/>
    <w:rsid w:val="00A908D7"/>
    <w:rsid w:val="00A9284D"/>
    <w:rsid w:val="00A93791"/>
    <w:rsid w:val="00AA3AB5"/>
    <w:rsid w:val="00AA3BC1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B18AE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6F0E"/>
    <w:rsid w:val="00C37B8B"/>
    <w:rsid w:val="00C53646"/>
    <w:rsid w:val="00C57F30"/>
    <w:rsid w:val="00C658C8"/>
    <w:rsid w:val="00C67333"/>
    <w:rsid w:val="00C71684"/>
    <w:rsid w:val="00C8207F"/>
    <w:rsid w:val="00C90DDF"/>
    <w:rsid w:val="00C95BBF"/>
    <w:rsid w:val="00CA5F4D"/>
    <w:rsid w:val="00CA7A3F"/>
    <w:rsid w:val="00CB5425"/>
    <w:rsid w:val="00CC3738"/>
    <w:rsid w:val="00CD01A4"/>
    <w:rsid w:val="00CD687C"/>
    <w:rsid w:val="00CE3C13"/>
    <w:rsid w:val="00CE4ABD"/>
    <w:rsid w:val="00CF0D6F"/>
    <w:rsid w:val="00CF6C3A"/>
    <w:rsid w:val="00CF74E8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2F5F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3C13"/>
    <w:rsid w:val="00DE5D82"/>
    <w:rsid w:val="00E018C7"/>
    <w:rsid w:val="00E04065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C78D1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443</Words>
  <Characters>2862</Characters>
  <Application>Microsoft Office Word</Application>
  <DocSecurity>0</DocSecurity>
  <Lines>53</Lines>
  <Paragraphs>48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18</cp:revision>
  <cp:lastPrinted>2026-01-28T20:01:00Z</cp:lastPrinted>
  <dcterms:created xsi:type="dcterms:W3CDTF">2026-02-23T15:38:00Z</dcterms:created>
  <dcterms:modified xsi:type="dcterms:W3CDTF">2026-02-24T15:37:00Z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