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7" w:rightFromText="187" w:vertAnchor="page" w:horzAnchor="margin" w:tblpX="-180" w:tblpY="1081"/>
        <w:tblOverlap w:val="never"/>
        <w:tblW w:w="99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84"/>
      </w:tblGrid>
      <w:tr w:rsidR="00545C67" w:rsidRPr="000F64EB" w14:paraId="46EBE068" w14:textId="77777777" w:rsidTr="00591C5F">
        <w:trPr>
          <w:trHeight w:val="1360"/>
        </w:trPr>
        <w:tc>
          <w:tcPr>
            <w:tcW w:w="9984" w:type="dxa"/>
          </w:tcPr>
          <w:p w14:paraId="3F5BFC53" w14:textId="32D82713" w:rsidR="004600AF" w:rsidRPr="000C40C5" w:rsidRDefault="00D804D1" w:rsidP="006519E3">
            <w:pPr>
              <w:rPr>
                <w:rFonts w:ascii="Aptos Display" w:hAnsi="Aptos Display" w:cs="Calibri"/>
                <w:b/>
                <w:bCs/>
                <w:sz w:val="52"/>
                <w:szCs w:val="52"/>
              </w:rPr>
            </w:pPr>
            <w:r w:rsidRPr="00940CD5">
              <w:rPr>
                <w:rFonts w:ascii="Aptos Display" w:hAnsi="Aptos Display" w:cs="Calibri"/>
                <w:color w:val="808080" w:themeColor="background1" w:themeShade="80"/>
                <w:sz w:val="32"/>
                <w:szCs w:val="32"/>
              </w:rPr>
              <w:t>VERSION: FEBRUARY 2026</w:t>
            </w:r>
            <w:r w:rsidR="00545C67" w:rsidRPr="002E7B6E">
              <w:rPr>
                <w:rFonts w:ascii="Aptos Display" w:hAnsi="Aptos Display" w:cs="Calibri"/>
                <w:b/>
                <w:bCs/>
                <w:sz w:val="52"/>
                <w:szCs w:val="52"/>
              </w:rPr>
              <w:br/>
            </w:r>
            <w:r w:rsidR="0017315D">
              <w:rPr>
                <w:rFonts w:ascii="Aptos Display" w:hAnsi="Aptos Display" w:cs="Calibri"/>
                <w:b/>
                <w:bCs/>
                <w:sz w:val="48"/>
                <w:szCs w:val="48"/>
              </w:rPr>
              <w:t>BCS365 Attach Rate Booster</w:t>
            </w:r>
          </w:p>
        </w:tc>
      </w:tr>
    </w:tbl>
    <w:p w14:paraId="3F5BE322" w14:textId="3AB6FCC6" w:rsidR="00DE3C13" w:rsidRPr="00591C5F" w:rsidRDefault="00940CD5" w:rsidP="00DE3C13">
      <w:r w:rsidRPr="00940CD5">
        <w:rPr>
          <w:noProof/>
          <w:color w:val="FF3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EA5E1C0" wp14:editId="31A7A0F0">
                <wp:simplePos x="0" y="0"/>
                <wp:positionH relativeFrom="column">
                  <wp:posOffset>-1657350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2" name="Arrow: Pentago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FF3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12C0B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-130.5pt;margin-top:-22.5pt;width:11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ppgQIAAGQFAAAOAAAAZHJzL2Uyb0RvYy54bWysVE1v2zAMvQ/YfxB0X22nSZsGdYqgRYYB&#10;RRusHXpWZCk2IIuapHz114+SbKdbix2GXWRRJB/JZ5LXN4dWkZ2wrgFd0uIsp0RoDlWjNyX98bz8&#10;MqXEeaYrpkCLkh6Fozfzz5+u92YmRlCDqoQlCKLdbG9KWntvZlnmeC1a5s7ACI1KCbZlHkW7ySrL&#10;9ojeqmyU5xfZHmxlLHDhHL7eJSWdR3wpBfePUjrhiSop5ubjaeO5Dmc2v2azjWWmbniXBvuHLFrW&#10;aAw6QN0xz8jWNu+g2oZbcCD9GYc2AykbLmINWE2R/1HNU82MiLUgOc4MNLn/B8sfdk9mZZGGvXEz&#10;h9dQxUHaNnwxP3KIZB0HssTBE46PxXg6ucqRU466i/NpcTkJbGYnb2Od/yqgJeGCKUMrVor5UBGb&#10;sd2988m+twvPDlRTLRulomA361tlyY7h31suz3MMl1x+M1M6GGsIbkkdXrJTQfHmj0oEO6W/C0ma&#10;CksYxUxir4khDuNcaF8kVc0qkcJPMPgQPXRn8IjlRsCALDH+gN0B9JYJpMdOWXb2wVXEVh2c878l&#10;lpwHjxgZtB+c20aD/QhAYVVd5GTfk5SoCSytoTquLLGQBsUZvmzw590z51fM4mTg/8Zp9494SAX7&#10;kkJ3o6QG+/rRe7APf9++UrLHSSup+7llVlCivmls5atiPA6jGYXx5HKEgn2rWb/V6G17C9gOBe4V&#10;w+M12HvVX6WF9gWXwiJERRXTHGOXlHvbC7c+bQBcK1wsFtEMx9Ewf6+fDA/ggdXQl8+HF2ZN18Ee&#10;e/8B+ql818PJNnhqWGw9yCY2+InXjm8c5dg43doJu+KtHK1Oy3H+CwAA//8DAFBLAwQUAAYACAAA&#10;ACEAa11RAuAAAAALAQAADwAAAGRycy9kb3ducmV2LnhtbEyPS0/DMBCE70j8B2uRuKVOA2mrEKdC&#10;lcqRQnldXXsbB/yIYrdN/32XE9y+0Y5mZ+rl6Cw74hC74AVMJzkw9CrozrcC3t/W2QJYTNJraYNH&#10;AWeMsGyur2pZ6XDyr3jcppZRiI+VFGBS6ivOozLoZJyEHj3d9mFwMpEcWq4HeaJwZ3mR5zPuZOfp&#10;g5E9rgyqn+3BCSjuPtbKFM+L+efL6vvrSW321m2EuL0ZHx+AJRzTnxl+61N1aKjTLhy8jswKyIrZ&#10;lMYkovuSgCxZMSfYCSjLEnhT8/8bmgsAAAD//wMAUEsBAi0AFAAGAAgAAAAhALaDOJL+AAAA4QEA&#10;ABMAAAAAAAAAAAAAAAAAAAAAAFtDb250ZW50X1R5cGVzXS54bWxQSwECLQAUAAYACAAAACEAOP0h&#10;/9YAAACUAQAACwAAAAAAAAAAAAAAAAAvAQAAX3JlbHMvLnJlbHNQSwECLQAUAAYACAAAACEAIK8a&#10;aYECAABkBQAADgAAAAAAAAAAAAAAAAAuAgAAZHJzL2Uyb0RvYy54bWxQSwECLQAUAAYACAAAACEA&#10;a11RAuAAAAALAQAADwAAAAAAAAAAAAAAAADbBAAAZHJzL2Rvd25yZXYueG1sUEsFBgAAAAAEAAQA&#10;8wAAAOgFAAAAAA==&#10;" adj="16962" fillcolor="#ff3000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C1A397A" wp14:editId="78856CB0">
                <wp:simplePos x="0" y="0"/>
                <wp:positionH relativeFrom="page">
                  <wp:posOffset>-809625</wp:posOffset>
                </wp:positionH>
                <wp:positionV relativeFrom="paragraph">
                  <wp:posOffset>-285750</wp:posOffset>
                </wp:positionV>
                <wp:extent cx="1485900" cy="638175"/>
                <wp:effectExtent l="0" t="0" r="0" b="9525"/>
                <wp:wrapNone/>
                <wp:docPr id="3" name="Arrow: Pentago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638175"/>
                        </a:xfrm>
                        <a:prstGeom prst="homePlate">
                          <a:avLst/>
                        </a:prstGeom>
                        <a:solidFill>
                          <a:srgbClr val="0458E7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065CC" id="Arrow: Pentagon 3" o:spid="_x0000_s1026" type="#_x0000_t15" style="position:absolute;margin-left:-63.75pt;margin-top:-22.5pt;width:117pt;height:50.25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iaPVQIAAKcEAAAOAAAAZHJzL2Uyb0RvYy54bWysVMFu2zAMvQ/YPwi6r06ypEmDOkWQrMOA&#10;og3QDj0rshQbkESNUuK0Xz9Kdpt23WlYDgop0nzk86Mvr47WsIPC0IAr+fBswJlyEqrG7Ur+8+H6&#10;y4yzEIWrhAGnSv6kAr9afP502fq5GkENplLIqIgL89aXvI7Rz4siyFpZEc7AK0dBDWhFJBd3RYWi&#10;perWFKPB4LxoASuPIFUIdLvugnyR62utZLzTOqjITMmpt5hPzOc2ncXiUsx3KHzdyL4N8Q9dWNE4&#10;An0ttRZRsD02H0rZRiIE0PFMgi1A60aqPANNMxz8Mc19LbzKsxA5wb/SFP5fWXl7uPcbJBpaH+aB&#10;zDTFUaNN/9QfO2aynl7JUsfIJF0Ox7PJxYA4lRQ7/zobTieJzeL0tMcQvyuwLBnUMli1MSKmicRc&#10;HG5C7PJf8tJ1ANNU140x2cHddmWQHUR6e+PJ7Nu0h3iXZhxrqZ/RNHcjSEWaYKgx66uSB7fjTJgd&#10;yVNGzNgOEkJ+9Ql7LULdYeSynSZsE0mYprElnw3Sr0c2LnWmsrT6CU7MJWsL1dMGGUKnteDldUMg&#10;NyLEjUASF1FGCxPv6NAGqHPoLc5qwOe/3af8RCA+c9aSWGmqX3uBijPzw5EaLobjcVJ3dsaT6Ygc&#10;fBvZvo24vV0BMTqk1fQymyk/mhdTI9hH2qtlQqWQcJKwO/56ZxW7JaLNlGq5zGmkaC/ijbv3MhVP&#10;PCV6H46PAn0vgkjyuYUXYX+QQZebnnSw3EfQTdbIiVcSWHJoG7LU+s1N6/bWz1mn78viNwAAAP//&#10;AwBQSwMEFAAGAAgAAAAhANzHIfLiAAAACwEAAA8AAABkcnMvZG93bnJldi54bWxMj81OwzAQhO9I&#10;vIO1SNxauxEuKMSpUCV+BBWCFoG4ufGSRMTrKHbb8PZsT3Db3RnNflMsRt+JPQ6xDWRgNlUgkKrg&#10;WqoNvG1uJ1cgYrLkbBcIDfxghEV5elLY3IUDveJ+nWrBIRRza6BJqc+ljFWD3sZp6JFY+wqDt4nX&#10;oZZusAcO953MlJpLb1viD43tcdlg9b3eeQN3T8/0mB6yz3dUm9Xy/iXWHzoac3423lyDSDimPzMc&#10;8RkdSmbahh25KDoDk1l2qdnL04XmVkeLmvNla0BrDbIs5P8O5S8AAAD//wMAUEsBAi0AFAAGAAgA&#10;AAAhALaDOJL+AAAA4QEAABMAAAAAAAAAAAAAAAAAAAAAAFtDb250ZW50X1R5cGVzXS54bWxQSwEC&#10;LQAUAAYACAAAACEAOP0h/9YAAACUAQAACwAAAAAAAAAAAAAAAAAvAQAAX3JlbHMvLnJlbHNQSwEC&#10;LQAUAAYACAAAACEAXYomj1UCAACnBAAADgAAAAAAAAAAAAAAAAAuAgAAZHJzL2Uyb0RvYy54bWxQ&#10;SwECLQAUAAYACAAAACEA3Mch8uIAAAALAQAADwAAAAAAAAAAAAAAAACvBAAAZHJzL2Rvd25yZXYu&#10;eG1sUEsFBgAAAAAEAAQA8wAAAL4FAAAAAA==&#10;" adj="16962" fillcolor="#0458e7" stroked="f" strokeweight="1pt">
                <w10:wrap anchorx="page"/>
              </v:shape>
            </w:pict>
          </mc:Fallback>
        </mc:AlternateContent>
      </w:r>
      <w:r w:rsidR="00EA171D">
        <w:rPr>
          <w:noProof/>
        </w:rPr>
        <w:drawing>
          <wp:anchor distT="0" distB="0" distL="114300" distR="114300" simplePos="0" relativeHeight="251649536" behindDoc="1" locked="0" layoutInCell="1" allowOverlap="1" wp14:anchorId="25A93521" wp14:editId="2AC1E418">
            <wp:simplePos x="0" y="0"/>
            <wp:positionH relativeFrom="column">
              <wp:posOffset>5067300</wp:posOffset>
            </wp:positionH>
            <wp:positionV relativeFrom="page">
              <wp:posOffset>280035</wp:posOffset>
            </wp:positionV>
            <wp:extent cx="1574165" cy="327025"/>
            <wp:effectExtent l="0" t="0" r="6985" b="0"/>
            <wp:wrapTight wrapText="bothSides">
              <wp:wrapPolygon edited="0">
                <wp:start x="523" y="0"/>
                <wp:lineTo x="0" y="3775"/>
                <wp:lineTo x="0" y="16357"/>
                <wp:lineTo x="523" y="20132"/>
                <wp:lineTo x="3660" y="20132"/>
                <wp:lineTo x="21434" y="20132"/>
                <wp:lineTo x="21434" y="0"/>
                <wp:lineTo x="3660" y="0"/>
                <wp:lineTo x="523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165" cy="32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D2B">
        <w:rPr>
          <w:noProof/>
        </w:rPr>
        <w:drawing>
          <wp:anchor distT="0" distB="0" distL="114300" distR="114300" simplePos="0" relativeHeight="251658243" behindDoc="1" locked="0" layoutInCell="1" allowOverlap="1" wp14:anchorId="310498DC" wp14:editId="3F7166F4">
            <wp:simplePos x="0" y="0"/>
            <wp:positionH relativeFrom="leftMargin">
              <wp:posOffset>2121535</wp:posOffset>
            </wp:positionH>
            <wp:positionV relativeFrom="paragraph">
              <wp:posOffset>8832850</wp:posOffset>
            </wp:positionV>
            <wp:extent cx="210312" cy="256032"/>
            <wp:effectExtent l="0" t="0" r="0" b="0"/>
            <wp:wrapNone/>
            <wp:docPr id="19" name="Picture 19" descr="A picture containing circle, symmetry, 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A picture containing circle, symmetry, lin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D2B">
        <w:rPr>
          <w:noProof/>
        </w:rPr>
        <w:drawing>
          <wp:anchor distT="0" distB="0" distL="114300" distR="114300" simplePos="0" relativeHeight="251658242" behindDoc="1" locked="0" layoutInCell="1" allowOverlap="1" wp14:anchorId="2AFBED1B" wp14:editId="5C4A2CB4">
            <wp:simplePos x="0" y="0"/>
            <wp:positionH relativeFrom="leftMargin">
              <wp:posOffset>694690</wp:posOffset>
            </wp:positionH>
            <wp:positionV relativeFrom="paragraph">
              <wp:posOffset>8832850</wp:posOffset>
            </wp:positionV>
            <wp:extent cx="210312" cy="256032"/>
            <wp:effectExtent l="0" t="0" r="0" b="0"/>
            <wp:wrapNone/>
            <wp:docPr id="18" name="Picture 18" descr="A white phone handset on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A white phone handset on a black background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12" cy="2560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315D">
        <w:rPr>
          <w:rFonts w:ascii="Aptos Display" w:hAnsi="Aptos Display"/>
          <w:i/>
          <w:sz w:val="24"/>
        </w:rPr>
        <w:t>How AVANT Trusted Advisors increase deal size, stickiness, and long-term revenue with BCS365</w:t>
      </w:r>
    </w:p>
    <w:p w14:paraId="1B512425" w14:textId="77777777" w:rsidR="00824C32" w:rsidRPr="00824C32" w:rsidRDefault="00824C32" w:rsidP="00824C32">
      <w:pPr>
        <w:pStyle w:val="Heading1"/>
        <w:spacing w:after="0"/>
        <w:rPr>
          <w:rFonts w:ascii="Aptos Display" w:hAnsi="Aptos Display"/>
          <w:color w:val="FF3000"/>
        </w:rPr>
      </w:pPr>
      <w:r w:rsidRPr="00824C32">
        <w:rPr>
          <w:rFonts w:ascii="Aptos Display" w:hAnsi="Aptos Display"/>
          <w:color w:val="FF3000"/>
        </w:rPr>
        <w:t>Purpose</w:t>
      </w:r>
    </w:p>
    <w:p w14:paraId="12E46FFE" w14:textId="77777777" w:rsidR="00824C32" w:rsidRPr="000C589B" w:rsidRDefault="00824C32" w:rsidP="00824C32">
      <w:pPr>
        <w:rPr>
          <w:rFonts w:ascii="Aptos Display" w:hAnsi="Aptos Display"/>
        </w:rPr>
      </w:pPr>
      <w:r w:rsidRPr="000C589B">
        <w:rPr>
          <w:rFonts w:ascii="Aptos Display" w:hAnsi="Aptos Display"/>
        </w:rPr>
        <w:t>This sell sheet is designed to help AVANT Trusted Advisors increase attach rates and total contract value by pairing core AVANT solutions with BCS365 managed services. The result: higher MRR, lower churn, and fewer post</w:t>
      </w:r>
      <w:r w:rsidRPr="000C589B">
        <w:rPr>
          <w:rFonts w:ascii="Cambria Math" w:hAnsi="Cambria Math" w:cs="Cambria Math"/>
        </w:rPr>
        <w:t>‑</w:t>
      </w:r>
      <w:r w:rsidRPr="000C589B">
        <w:rPr>
          <w:rFonts w:ascii="Aptos Display" w:hAnsi="Aptos Display"/>
        </w:rPr>
        <w:t>sale escalations.</w:t>
      </w:r>
    </w:p>
    <w:p w14:paraId="60A920DD" w14:textId="77777777" w:rsidR="00824C32" w:rsidRPr="00824C32" w:rsidRDefault="00824C32" w:rsidP="00824C32">
      <w:pPr>
        <w:pStyle w:val="Heading1"/>
        <w:spacing w:after="0"/>
        <w:rPr>
          <w:rFonts w:ascii="Aptos Display" w:hAnsi="Aptos Display"/>
          <w:color w:val="FF3000"/>
        </w:rPr>
      </w:pPr>
      <w:r w:rsidRPr="00824C32">
        <w:rPr>
          <w:rFonts w:ascii="Aptos Display" w:hAnsi="Aptos Display"/>
          <w:color w:val="FF3000"/>
        </w:rPr>
        <w:t xml:space="preserve">Why Attach Managed Services? </w:t>
      </w:r>
      <w:r w:rsidRPr="00824C32">
        <w:rPr>
          <w:rFonts w:ascii="Aptos Display" w:hAnsi="Aptos Display"/>
          <w:b w:val="0"/>
          <w:bCs w:val="0"/>
          <w:color w:val="FF3000"/>
        </w:rPr>
        <w:t>(Advisor Economics)</w:t>
      </w:r>
    </w:p>
    <w:p w14:paraId="535EA3F6" w14:textId="77777777" w:rsidR="00824C32" w:rsidRPr="000C589B" w:rsidRDefault="00824C32" w:rsidP="00824C32">
      <w:pPr>
        <w:pStyle w:val="ListBullet"/>
        <w:numPr>
          <w:ilvl w:val="0"/>
          <w:numId w:val="2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Larger deals: Attach managed IT, security, or cloud services to expand monthly recurring revenue.</w:t>
      </w:r>
    </w:p>
    <w:p w14:paraId="70C500DC" w14:textId="77777777" w:rsidR="00824C32" w:rsidRPr="000C589B" w:rsidRDefault="00824C32" w:rsidP="00824C32">
      <w:pPr>
        <w:pStyle w:val="ListBullet"/>
        <w:numPr>
          <w:ilvl w:val="0"/>
          <w:numId w:val="2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Lower churn: Customers with MSP + security + support stay longer and renew more often.</w:t>
      </w:r>
    </w:p>
    <w:p w14:paraId="50BEF8B9" w14:textId="77777777" w:rsidR="00824C32" w:rsidRPr="000C589B" w:rsidRDefault="00824C32" w:rsidP="00824C32">
      <w:pPr>
        <w:pStyle w:val="ListBullet"/>
        <w:numPr>
          <w:ilvl w:val="0"/>
          <w:numId w:val="2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Fewer escalations: BCS365 absorbs delivery, support, and security operations.</w:t>
      </w:r>
    </w:p>
    <w:p w14:paraId="4958B456" w14:textId="77777777" w:rsidR="00824C32" w:rsidRPr="000C589B" w:rsidRDefault="00824C32" w:rsidP="00824C32">
      <w:pPr>
        <w:pStyle w:val="ListBullet"/>
        <w:numPr>
          <w:ilvl w:val="0"/>
          <w:numId w:val="2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Stronger differentiation: Compete effectively against full</w:t>
      </w:r>
      <w:r w:rsidRPr="000C589B">
        <w:rPr>
          <w:rFonts w:ascii="Cambria Math" w:hAnsi="Cambria Math" w:cs="Cambria Math"/>
        </w:rPr>
        <w:t>‑</w:t>
      </w:r>
      <w:r w:rsidRPr="000C589B">
        <w:rPr>
          <w:rFonts w:ascii="Aptos Display" w:hAnsi="Aptos Display"/>
        </w:rPr>
        <w:t>stack providers.</w:t>
      </w:r>
    </w:p>
    <w:p w14:paraId="6B0B2CFE" w14:textId="77777777" w:rsidR="00824C32" w:rsidRPr="00824C32" w:rsidRDefault="00824C32" w:rsidP="00F77608">
      <w:pPr>
        <w:pStyle w:val="Heading1"/>
        <w:spacing w:after="0"/>
        <w:rPr>
          <w:rFonts w:ascii="Aptos Display" w:hAnsi="Aptos Display"/>
          <w:color w:val="FF3000"/>
        </w:rPr>
      </w:pPr>
      <w:r w:rsidRPr="00824C32">
        <w:rPr>
          <w:rFonts w:ascii="Aptos Display" w:hAnsi="Aptos Display"/>
          <w:color w:val="FF3000"/>
        </w:rPr>
        <w:t>BCS365: Built to Attach, Not Compete</w:t>
      </w:r>
    </w:p>
    <w:p w14:paraId="26C9FFBD" w14:textId="77777777" w:rsidR="00824C32" w:rsidRPr="000C589B" w:rsidRDefault="00824C32" w:rsidP="00824C32">
      <w:pPr>
        <w:pStyle w:val="ListBullet"/>
        <w:numPr>
          <w:ilvl w:val="0"/>
          <w:numId w:val="3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24/7/365 Managed IT, Security, Cloud, and Compliance operations.</w:t>
      </w:r>
    </w:p>
    <w:p w14:paraId="2E64CC0E" w14:textId="77777777" w:rsidR="00824C32" w:rsidRPr="000C589B" w:rsidRDefault="00824C32" w:rsidP="00824C32">
      <w:pPr>
        <w:pStyle w:val="ListBullet"/>
        <w:numPr>
          <w:ilvl w:val="0"/>
          <w:numId w:val="3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ISO/IEC 27001:2022 certified security</w:t>
      </w:r>
      <w:r w:rsidRPr="000C589B">
        <w:rPr>
          <w:rFonts w:ascii="Cambria Math" w:hAnsi="Cambria Math" w:cs="Cambria Math"/>
        </w:rPr>
        <w:t>‑</w:t>
      </w:r>
      <w:r w:rsidRPr="000C589B">
        <w:rPr>
          <w:rFonts w:ascii="Aptos Display" w:hAnsi="Aptos Display"/>
        </w:rPr>
        <w:t>first delivery model.</w:t>
      </w:r>
    </w:p>
    <w:p w14:paraId="6BF4F91E" w14:textId="77777777" w:rsidR="00824C32" w:rsidRPr="000C589B" w:rsidRDefault="00824C32" w:rsidP="00824C32">
      <w:pPr>
        <w:pStyle w:val="ListBullet"/>
        <w:numPr>
          <w:ilvl w:val="0"/>
          <w:numId w:val="3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U.S.</w:t>
      </w:r>
      <w:r w:rsidRPr="000C589B">
        <w:rPr>
          <w:rFonts w:ascii="Cambria Math" w:hAnsi="Cambria Math" w:cs="Cambria Math"/>
        </w:rPr>
        <w:t>‑</w:t>
      </w:r>
      <w:r w:rsidRPr="000C589B">
        <w:rPr>
          <w:rFonts w:ascii="Aptos Display" w:hAnsi="Aptos Display"/>
        </w:rPr>
        <w:t>based help desk, NOC, and SOC coverage.</w:t>
      </w:r>
    </w:p>
    <w:p w14:paraId="3005F168" w14:textId="77777777" w:rsidR="00824C32" w:rsidRPr="000C589B" w:rsidRDefault="00824C32" w:rsidP="00824C32">
      <w:pPr>
        <w:pStyle w:val="ListBullet"/>
        <w:numPr>
          <w:ilvl w:val="0"/>
          <w:numId w:val="3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Partner</w:t>
      </w:r>
      <w:r w:rsidRPr="000C589B">
        <w:rPr>
          <w:rFonts w:ascii="Cambria Math" w:hAnsi="Cambria Math" w:cs="Cambria Math"/>
        </w:rPr>
        <w:t>‑</w:t>
      </w:r>
      <w:r w:rsidRPr="000C589B">
        <w:rPr>
          <w:rFonts w:ascii="Aptos Display" w:hAnsi="Aptos Display"/>
        </w:rPr>
        <w:t>first engagement: advisor owns the customer relationship.</w:t>
      </w:r>
    </w:p>
    <w:p w14:paraId="6F0ADFD8" w14:textId="77777777" w:rsidR="00824C32" w:rsidRPr="00824C32" w:rsidRDefault="00824C32" w:rsidP="00F77608">
      <w:pPr>
        <w:pStyle w:val="Heading1"/>
        <w:spacing w:after="0"/>
        <w:rPr>
          <w:rFonts w:ascii="Aptos Display" w:hAnsi="Aptos Display"/>
          <w:color w:val="FF3000"/>
        </w:rPr>
      </w:pPr>
      <w:r w:rsidRPr="00824C32">
        <w:rPr>
          <w:rFonts w:ascii="Aptos Display" w:hAnsi="Aptos Display"/>
          <w:color w:val="FF3000"/>
        </w:rPr>
        <w:t>High</w:t>
      </w:r>
      <w:r w:rsidRPr="00824C32">
        <w:rPr>
          <w:rFonts w:ascii="Cambria Math" w:hAnsi="Cambria Math" w:cs="Cambria Math"/>
          <w:color w:val="FF3000"/>
        </w:rPr>
        <w:t>‑</w:t>
      </w:r>
      <w:r w:rsidRPr="00824C32">
        <w:rPr>
          <w:rFonts w:ascii="Aptos Display" w:hAnsi="Aptos Display"/>
          <w:color w:val="FF3000"/>
        </w:rPr>
        <w:t>Impact Attach Motions</w:t>
      </w:r>
    </w:p>
    <w:p w14:paraId="0F3A6319" w14:textId="77777777" w:rsidR="00824C32" w:rsidRPr="000A6D5F" w:rsidRDefault="00824C32" w:rsidP="00F77608">
      <w:pPr>
        <w:pStyle w:val="Heading2"/>
        <w:spacing w:before="120" w:after="120"/>
        <w:rPr>
          <w:rFonts w:ascii="Aptos Display" w:hAnsi="Aptos Display"/>
          <w:color w:val="auto"/>
        </w:rPr>
      </w:pPr>
      <w:proofErr w:type="spellStart"/>
      <w:r w:rsidRPr="000A6D5F">
        <w:rPr>
          <w:rFonts w:ascii="Aptos Display" w:hAnsi="Aptos Display"/>
          <w:color w:val="auto"/>
        </w:rPr>
        <w:t>UCaaS</w:t>
      </w:r>
      <w:proofErr w:type="spellEnd"/>
      <w:r w:rsidRPr="000A6D5F">
        <w:rPr>
          <w:rFonts w:ascii="Aptos Display" w:hAnsi="Aptos Display"/>
          <w:color w:val="auto"/>
        </w:rPr>
        <w:t xml:space="preserve"> / Teams / </w:t>
      </w:r>
      <w:proofErr w:type="spellStart"/>
      <w:r w:rsidRPr="000A6D5F">
        <w:rPr>
          <w:rFonts w:ascii="Aptos Display" w:hAnsi="Aptos Display"/>
          <w:color w:val="auto"/>
        </w:rPr>
        <w:t>CCaaS</w:t>
      </w:r>
      <w:proofErr w:type="spellEnd"/>
      <w:r w:rsidRPr="000A6D5F">
        <w:rPr>
          <w:rFonts w:ascii="Aptos Display" w:hAnsi="Aptos Display"/>
          <w:color w:val="auto"/>
        </w:rPr>
        <w:t xml:space="preserve"> Deals</w:t>
      </w:r>
    </w:p>
    <w:p w14:paraId="4DF872D9" w14:textId="77777777" w:rsidR="00824C32" w:rsidRPr="000C589B" w:rsidRDefault="00824C32" w:rsidP="00824C32">
      <w:pPr>
        <w:pStyle w:val="ListBullet"/>
        <w:numPr>
          <w:ilvl w:val="0"/>
          <w:numId w:val="4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Managed IT &amp; 24/7/365 end</w:t>
      </w:r>
      <w:r w:rsidRPr="000C589B">
        <w:rPr>
          <w:rFonts w:ascii="Cambria Math" w:hAnsi="Cambria Math" w:cs="Cambria Math"/>
        </w:rPr>
        <w:t>‑</w:t>
      </w:r>
      <w:r w:rsidRPr="000C589B">
        <w:rPr>
          <w:rFonts w:ascii="Aptos Display" w:hAnsi="Aptos Display"/>
        </w:rPr>
        <w:t>user support</w:t>
      </w:r>
    </w:p>
    <w:p w14:paraId="4F5AD496" w14:textId="77777777" w:rsidR="00824C32" w:rsidRPr="000C589B" w:rsidRDefault="00824C32" w:rsidP="00824C32">
      <w:pPr>
        <w:pStyle w:val="ListBullet"/>
        <w:numPr>
          <w:ilvl w:val="0"/>
          <w:numId w:val="4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Microsoft 365 migration, optimization, and administration</w:t>
      </w:r>
    </w:p>
    <w:p w14:paraId="6A9A4B97" w14:textId="77777777" w:rsidR="00824C32" w:rsidRPr="000C589B" w:rsidRDefault="00824C32" w:rsidP="00824C32">
      <w:pPr>
        <w:pStyle w:val="ListBullet"/>
        <w:numPr>
          <w:ilvl w:val="0"/>
          <w:numId w:val="4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Endpoint security + MDR for users and devices</w:t>
      </w:r>
    </w:p>
    <w:p w14:paraId="3C52DC89" w14:textId="77777777" w:rsidR="00824C32" w:rsidRPr="000C589B" w:rsidRDefault="00824C32" w:rsidP="00824C32">
      <w:pPr>
        <w:pStyle w:val="ListBullet"/>
        <w:numPr>
          <w:ilvl w:val="0"/>
          <w:numId w:val="4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Backup &amp; disaster recovery for business</w:t>
      </w:r>
      <w:r w:rsidRPr="000C589B">
        <w:rPr>
          <w:rFonts w:ascii="Cambria Math" w:hAnsi="Cambria Math" w:cs="Cambria Math"/>
        </w:rPr>
        <w:t>‑</w:t>
      </w:r>
      <w:r w:rsidRPr="000C589B">
        <w:rPr>
          <w:rFonts w:ascii="Aptos Display" w:hAnsi="Aptos Display"/>
        </w:rPr>
        <w:t>critical data</w:t>
      </w:r>
    </w:p>
    <w:p w14:paraId="51E35733" w14:textId="77777777" w:rsidR="00824C32" w:rsidRPr="000A6D5F" w:rsidRDefault="00824C32" w:rsidP="00824C32">
      <w:pPr>
        <w:pStyle w:val="Heading2"/>
        <w:rPr>
          <w:rFonts w:ascii="Aptos Display" w:hAnsi="Aptos Display"/>
          <w:color w:val="auto"/>
        </w:rPr>
      </w:pPr>
      <w:r w:rsidRPr="000A6D5F">
        <w:rPr>
          <w:rFonts w:ascii="Aptos Display" w:hAnsi="Aptos Display"/>
          <w:color w:val="auto"/>
        </w:rPr>
        <w:t>Connectivity, SD</w:t>
      </w:r>
      <w:r w:rsidRPr="000A6D5F">
        <w:rPr>
          <w:rFonts w:ascii="Cambria Math" w:hAnsi="Cambria Math" w:cs="Cambria Math"/>
          <w:color w:val="auto"/>
        </w:rPr>
        <w:t>‑</w:t>
      </w:r>
      <w:r w:rsidRPr="000A6D5F">
        <w:rPr>
          <w:rFonts w:ascii="Aptos Display" w:hAnsi="Aptos Display"/>
          <w:color w:val="auto"/>
        </w:rPr>
        <w:t>WAN, and Network Deals</w:t>
      </w:r>
    </w:p>
    <w:p w14:paraId="19951ACB" w14:textId="77777777" w:rsidR="00824C32" w:rsidRPr="000C589B" w:rsidRDefault="00824C32" w:rsidP="00824C32">
      <w:pPr>
        <w:pStyle w:val="ListBullet"/>
        <w:numPr>
          <w:ilvl w:val="0"/>
          <w:numId w:val="5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24/7/365 proactive monitoring and remediation (NOC)</w:t>
      </w:r>
    </w:p>
    <w:p w14:paraId="08319A5E" w14:textId="77777777" w:rsidR="00824C32" w:rsidRPr="000C589B" w:rsidRDefault="00824C32" w:rsidP="00824C32">
      <w:pPr>
        <w:pStyle w:val="ListBullet"/>
        <w:numPr>
          <w:ilvl w:val="0"/>
          <w:numId w:val="5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Firewall management and network security operations</w:t>
      </w:r>
    </w:p>
    <w:p w14:paraId="71FBB999" w14:textId="77777777" w:rsidR="00824C32" w:rsidRPr="000C589B" w:rsidRDefault="00824C32" w:rsidP="00824C32">
      <w:pPr>
        <w:pStyle w:val="ListBullet"/>
        <w:numPr>
          <w:ilvl w:val="0"/>
          <w:numId w:val="5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Endpoint security and identity protection</w:t>
      </w:r>
    </w:p>
    <w:p w14:paraId="610C1E49" w14:textId="77777777" w:rsidR="00824C32" w:rsidRPr="000C589B" w:rsidRDefault="00824C32" w:rsidP="00824C32">
      <w:pPr>
        <w:pStyle w:val="ListBullet"/>
        <w:numPr>
          <w:ilvl w:val="0"/>
          <w:numId w:val="5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Business continuity and disaster recovery services</w:t>
      </w:r>
    </w:p>
    <w:p w14:paraId="1B4E3E3D" w14:textId="77777777" w:rsidR="00F77608" w:rsidRDefault="00F77608" w:rsidP="00824C32">
      <w:pPr>
        <w:pStyle w:val="Heading2"/>
        <w:rPr>
          <w:rFonts w:ascii="Aptos Display" w:hAnsi="Aptos Display"/>
          <w:color w:val="auto"/>
        </w:rPr>
      </w:pPr>
    </w:p>
    <w:p w14:paraId="276C59CB" w14:textId="77777777" w:rsidR="00F77608" w:rsidRDefault="00F77608" w:rsidP="00824C32">
      <w:pPr>
        <w:pStyle w:val="Heading2"/>
        <w:rPr>
          <w:rFonts w:ascii="Aptos Display" w:hAnsi="Aptos Display"/>
          <w:color w:val="auto"/>
        </w:rPr>
      </w:pPr>
    </w:p>
    <w:p w14:paraId="28F2D287" w14:textId="23B665CE" w:rsidR="00824C32" w:rsidRPr="000A6D5F" w:rsidRDefault="00824C32" w:rsidP="00824C32">
      <w:pPr>
        <w:pStyle w:val="Heading2"/>
        <w:rPr>
          <w:rFonts w:ascii="Aptos Display" w:hAnsi="Aptos Display"/>
          <w:color w:val="auto"/>
        </w:rPr>
      </w:pPr>
      <w:r w:rsidRPr="000A6D5F">
        <w:rPr>
          <w:rFonts w:ascii="Aptos Display" w:hAnsi="Aptos Display"/>
          <w:color w:val="auto"/>
        </w:rPr>
        <w:lastRenderedPageBreak/>
        <w:t>Security</w:t>
      </w:r>
      <w:r w:rsidRPr="000A6D5F">
        <w:rPr>
          <w:rFonts w:ascii="Cambria Math" w:hAnsi="Cambria Math" w:cs="Cambria Math"/>
          <w:color w:val="auto"/>
        </w:rPr>
        <w:t>‑</w:t>
      </w:r>
      <w:r w:rsidRPr="000A6D5F">
        <w:rPr>
          <w:rFonts w:ascii="Aptos Display" w:hAnsi="Aptos Display"/>
          <w:color w:val="auto"/>
        </w:rPr>
        <w:t>Led or Security</w:t>
      </w:r>
      <w:r w:rsidRPr="000A6D5F">
        <w:rPr>
          <w:rFonts w:ascii="Cambria Math" w:hAnsi="Cambria Math" w:cs="Cambria Math"/>
          <w:color w:val="auto"/>
        </w:rPr>
        <w:t>‑</w:t>
      </w:r>
      <w:r w:rsidRPr="000A6D5F">
        <w:rPr>
          <w:rFonts w:ascii="Aptos Display" w:hAnsi="Aptos Display"/>
          <w:color w:val="auto"/>
        </w:rPr>
        <w:t>Stalled Deals</w:t>
      </w:r>
    </w:p>
    <w:p w14:paraId="06835020" w14:textId="77777777" w:rsidR="00824C32" w:rsidRPr="000C589B" w:rsidRDefault="00824C32" w:rsidP="00824C32">
      <w:pPr>
        <w:pStyle w:val="ListBullet"/>
        <w:numPr>
          <w:ilvl w:val="0"/>
          <w:numId w:val="6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Managed Detection &amp; Response (MDR) with 24/7 SOC monitoring</w:t>
      </w:r>
    </w:p>
    <w:p w14:paraId="76A58F3F" w14:textId="77777777" w:rsidR="00824C32" w:rsidRPr="000C589B" w:rsidRDefault="00824C32" w:rsidP="00824C32">
      <w:pPr>
        <w:pStyle w:val="ListBullet"/>
        <w:numPr>
          <w:ilvl w:val="0"/>
          <w:numId w:val="6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Endpoint and network security hardening</w:t>
      </w:r>
    </w:p>
    <w:p w14:paraId="487569DC" w14:textId="77777777" w:rsidR="00824C32" w:rsidRPr="000C589B" w:rsidRDefault="00824C32" w:rsidP="00824C32">
      <w:pPr>
        <w:pStyle w:val="ListBullet"/>
        <w:numPr>
          <w:ilvl w:val="0"/>
          <w:numId w:val="6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Incident response planning and rapid containment services</w:t>
      </w:r>
    </w:p>
    <w:p w14:paraId="5B6AEE11" w14:textId="77777777" w:rsidR="00824C32" w:rsidRPr="000C589B" w:rsidRDefault="00824C32" w:rsidP="00824C32">
      <w:pPr>
        <w:pStyle w:val="ListBullet"/>
        <w:numPr>
          <w:ilvl w:val="0"/>
          <w:numId w:val="6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Risk assessments and penetration testing</w:t>
      </w:r>
    </w:p>
    <w:p w14:paraId="303BF784" w14:textId="77777777" w:rsidR="00824C32" w:rsidRPr="000A6D5F" w:rsidRDefault="00824C32" w:rsidP="00824C32">
      <w:pPr>
        <w:pStyle w:val="Heading2"/>
        <w:rPr>
          <w:rFonts w:ascii="Aptos Display" w:hAnsi="Aptos Display"/>
          <w:color w:val="auto"/>
        </w:rPr>
      </w:pPr>
      <w:r w:rsidRPr="000A6D5F">
        <w:rPr>
          <w:rFonts w:ascii="Aptos Display" w:hAnsi="Aptos Display"/>
          <w:color w:val="auto"/>
        </w:rPr>
        <w:t>Cloud &amp; Microsoft Azure Deals</w:t>
      </w:r>
    </w:p>
    <w:p w14:paraId="079347AB" w14:textId="77777777" w:rsidR="00824C32" w:rsidRPr="000C589B" w:rsidRDefault="00824C32" w:rsidP="00824C32">
      <w:pPr>
        <w:pStyle w:val="ListBullet"/>
        <w:numPr>
          <w:ilvl w:val="0"/>
          <w:numId w:val="7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Azure migration planning and execution</w:t>
      </w:r>
    </w:p>
    <w:p w14:paraId="38310DE3" w14:textId="77777777" w:rsidR="00824C32" w:rsidRPr="000C589B" w:rsidRDefault="00824C32" w:rsidP="00824C32">
      <w:pPr>
        <w:pStyle w:val="ListBullet"/>
        <w:numPr>
          <w:ilvl w:val="0"/>
          <w:numId w:val="7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Ongoing managed cloud operations and cost optimization</w:t>
      </w:r>
    </w:p>
    <w:p w14:paraId="4CEEA218" w14:textId="77777777" w:rsidR="00824C32" w:rsidRPr="000C589B" w:rsidRDefault="00824C32" w:rsidP="00824C32">
      <w:pPr>
        <w:pStyle w:val="ListBullet"/>
        <w:numPr>
          <w:ilvl w:val="0"/>
          <w:numId w:val="7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Cloud backup, disaster recovery, and data protection</w:t>
      </w:r>
    </w:p>
    <w:p w14:paraId="79CD4A62" w14:textId="77777777" w:rsidR="00824C32" w:rsidRPr="000C589B" w:rsidRDefault="00824C32" w:rsidP="00824C32">
      <w:pPr>
        <w:pStyle w:val="ListBullet"/>
        <w:numPr>
          <w:ilvl w:val="0"/>
          <w:numId w:val="7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Security and compliance controls for cloud workloads</w:t>
      </w:r>
    </w:p>
    <w:p w14:paraId="53AB7F5F" w14:textId="77777777" w:rsidR="00824C32" w:rsidRPr="000A6D5F" w:rsidRDefault="00824C32" w:rsidP="00824C32">
      <w:pPr>
        <w:pStyle w:val="Heading2"/>
        <w:rPr>
          <w:rFonts w:ascii="Aptos Display" w:hAnsi="Aptos Display"/>
          <w:color w:val="auto"/>
        </w:rPr>
      </w:pPr>
      <w:r w:rsidRPr="000A6D5F">
        <w:rPr>
          <w:rFonts w:ascii="Aptos Display" w:hAnsi="Aptos Display"/>
          <w:color w:val="auto"/>
        </w:rPr>
        <w:t>Compliance</w:t>
      </w:r>
      <w:r w:rsidRPr="000A6D5F">
        <w:rPr>
          <w:rFonts w:ascii="Cambria Math" w:hAnsi="Cambria Math" w:cs="Cambria Math"/>
          <w:color w:val="auto"/>
        </w:rPr>
        <w:t>‑</w:t>
      </w:r>
      <w:r w:rsidRPr="000A6D5F">
        <w:rPr>
          <w:rFonts w:ascii="Aptos Display" w:hAnsi="Aptos Display"/>
          <w:color w:val="auto"/>
        </w:rPr>
        <w:t>Driven Opportunities</w:t>
      </w:r>
    </w:p>
    <w:p w14:paraId="75423D65" w14:textId="77777777" w:rsidR="00824C32" w:rsidRPr="000C589B" w:rsidRDefault="00824C32" w:rsidP="00824C32">
      <w:pPr>
        <w:pStyle w:val="ListBullet"/>
        <w:numPr>
          <w:ilvl w:val="0"/>
          <w:numId w:val="8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Compliance assessments and gap analysis (HIPAA, SOC 2, ISO 27001, NIST, PCI, CMMC)</w:t>
      </w:r>
    </w:p>
    <w:p w14:paraId="093A3C63" w14:textId="77777777" w:rsidR="00824C32" w:rsidRPr="000C589B" w:rsidRDefault="00824C32" w:rsidP="00824C32">
      <w:pPr>
        <w:pStyle w:val="ListBullet"/>
        <w:numPr>
          <w:ilvl w:val="0"/>
          <w:numId w:val="8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Policy and documentation development</w:t>
      </w:r>
    </w:p>
    <w:p w14:paraId="1A2B5CA3" w14:textId="77777777" w:rsidR="00824C32" w:rsidRPr="000C589B" w:rsidRDefault="00824C32" w:rsidP="00824C32">
      <w:pPr>
        <w:pStyle w:val="ListBullet"/>
        <w:numPr>
          <w:ilvl w:val="0"/>
          <w:numId w:val="8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Ongoing governance, monitoring, and quarterly reviews</w:t>
      </w:r>
    </w:p>
    <w:p w14:paraId="0C8D9550" w14:textId="77777777" w:rsidR="00824C32" w:rsidRPr="000C589B" w:rsidRDefault="00824C32" w:rsidP="00824C32">
      <w:pPr>
        <w:pStyle w:val="ListBullet"/>
        <w:numPr>
          <w:ilvl w:val="0"/>
          <w:numId w:val="8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Security tooling to satisfy audit requirements</w:t>
      </w:r>
    </w:p>
    <w:p w14:paraId="2EA5C51A" w14:textId="77777777" w:rsidR="00824C32" w:rsidRPr="00824C32" w:rsidRDefault="00824C32" w:rsidP="00695CBB">
      <w:pPr>
        <w:pStyle w:val="Heading1"/>
        <w:spacing w:after="0"/>
        <w:rPr>
          <w:rFonts w:ascii="Aptos Display" w:hAnsi="Aptos Display"/>
          <w:color w:val="FF3000"/>
        </w:rPr>
      </w:pPr>
      <w:r w:rsidRPr="00824C32">
        <w:rPr>
          <w:rFonts w:ascii="Aptos Display" w:hAnsi="Aptos Display"/>
          <w:color w:val="FF3000"/>
        </w:rPr>
        <w:t xml:space="preserve">Typical Revenue Impact </w:t>
      </w:r>
      <w:r w:rsidRPr="00824C32">
        <w:rPr>
          <w:rFonts w:ascii="Aptos Display" w:hAnsi="Aptos Display"/>
          <w:b w:val="0"/>
          <w:bCs w:val="0"/>
          <w:color w:val="FF3000"/>
        </w:rPr>
        <w:t>(Illustrative)</w:t>
      </w:r>
    </w:p>
    <w:p w14:paraId="28874246" w14:textId="77777777" w:rsidR="00824C32" w:rsidRPr="000C589B" w:rsidRDefault="00824C32" w:rsidP="00824C32">
      <w:pPr>
        <w:pStyle w:val="ListBullet"/>
        <w:numPr>
          <w:ilvl w:val="0"/>
          <w:numId w:val="9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Core AVANT deal + BCS365 MSP attach = higher total MRR per customer.</w:t>
      </w:r>
    </w:p>
    <w:p w14:paraId="68064A60" w14:textId="77777777" w:rsidR="00824C32" w:rsidRPr="000C589B" w:rsidRDefault="00824C32" w:rsidP="00824C32">
      <w:pPr>
        <w:pStyle w:val="ListBullet"/>
        <w:numPr>
          <w:ilvl w:val="0"/>
          <w:numId w:val="9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Security and compliance attachments drive long</w:t>
      </w:r>
      <w:r w:rsidRPr="000C589B">
        <w:rPr>
          <w:rFonts w:ascii="Cambria Math" w:hAnsi="Cambria Math" w:cs="Cambria Math"/>
        </w:rPr>
        <w:t>‑</w:t>
      </w:r>
      <w:r w:rsidRPr="000C589B">
        <w:rPr>
          <w:rFonts w:ascii="Aptos Display" w:hAnsi="Aptos Display"/>
        </w:rPr>
        <w:t>term recurring revenue.</w:t>
      </w:r>
    </w:p>
    <w:p w14:paraId="546021A3" w14:textId="77777777" w:rsidR="00824C32" w:rsidRPr="000C589B" w:rsidRDefault="00824C32" w:rsidP="00824C32">
      <w:pPr>
        <w:pStyle w:val="ListBullet"/>
        <w:numPr>
          <w:ilvl w:val="0"/>
          <w:numId w:val="9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Operational services reduce churn and increase lifetime customer value.</w:t>
      </w:r>
    </w:p>
    <w:p w14:paraId="06F73F1D" w14:textId="77777777" w:rsidR="00824C32" w:rsidRPr="00824C32" w:rsidRDefault="00824C32" w:rsidP="00695CBB">
      <w:pPr>
        <w:pStyle w:val="Heading1"/>
        <w:spacing w:after="0"/>
        <w:rPr>
          <w:rFonts w:ascii="Aptos Display" w:hAnsi="Aptos Display"/>
          <w:color w:val="FF3000"/>
        </w:rPr>
      </w:pPr>
      <w:r w:rsidRPr="00824C32">
        <w:rPr>
          <w:rFonts w:ascii="Aptos Display" w:hAnsi="Aptos Display"/>
          <w:color w:val="FF3000"/>
        </w:rPr>
        <w:t>Advisor Talk Track</w:t>
      </w:r>
    </w:p>
    <w:p w14:paraId="563CE74B" w14:textId="77777777" w:rsidR="00824C32" w:rsidRPr="000C589B" w:rsidRDefault="00824C32" w:rsidP="00824C32">
      <w:pPr>
        <w:rPr>
          <w:rFonts w:ascii="Aptos Display" w:hAnsi="Aptos Display"/>
        </w:rPr>
      </w:pPr>
      <w:r w:rsidRPr="000C589B">
        <w:rPr>
          <w:rFonts w:ascii="Aptos Display" w:hAnsi="Aptos Display"/>
        </w:rPr>
        <w:t>“By attaching BCS365, we’re not just delivering the technology—you’re getting an always</w:t>
      </w:r>
      <w:r w:rsidRPr="000C589B">
        <w:rPr>
          <w:rFonts w:ascii="Cambria Math" w:hAnsi="Cambria Math" w:cs="Cambria Math"/>
        </w:rPr>
        <w:t>‑</w:t>
      </w:r>
      <w:r w:rsidRPr="000C589B">
        <w:rPr>
          <w:rFonts w:ascii="Aptos Display" w:hAnsi="Aptos Display"/>
        </w:rPr>
        <w:t>on team that manages IT, security, and support 24/7. That reduces risk, improves user experience, and protects your investment long term.</w:t>
      </w:r>
      <w:r w:rsidRPr="000C589B">
        <w:rPr>
          <w:rFonts w:ascii="Aptos Display" w:hAnsi="Aptos Display" w:cs="Aptos Display"/>
        </w:rPr>
        <w:t>”</w:t>
      </w:r>
    </w:p>
    <w:p w14:paraId="79820514" w14:textId="77777777" w:rsidR="00824C32" w:rsidRPr="00824C32" w:rsidRDefault="00824C32" w:rsidP="00695CBB">
      <w:pPr>
        <w:pStyle w:val="Heading1"/>
        <w:spacing w:after="0"/>
        <w:rPr>
          <w:rFonts w:ascii="Aptos Display" w:hAnsi="Aptos Display"/>
          <w:color w:val="FF3000"/>
        </w:rPr>
      </w:pPr>
      <w:r w:rsidRPr="00824C32">
        <w:rPr>
          <w:rFonts w:ascii="Aptos Display" w:hAnsi="Aptos Display"/>
          <w:color w:val="FF3000"/>
        </w:rPr>
        <w:t>When to Bring in BCS365</w:t>
      </w:r>
    </w:p>
    <w:p w14:paraId="0C09D27F" w14:textId="77777777" w:rsidR="00824C32" w:rsidRPr="000C589B" w:rsidRDefault="00824C32" w:rsidP="00695CBB">
      <w:pPr>
        <w:pStyle w:val="ListBullet"/>
        <w:numPr>
          <w:ilvl w:val="0"/>
          <w:numId w:val="10"/>
        </w:numPr>
        <w:spacing w:after="0"/>
        <w:rPr>
          <w:rFonts w:ascii="Aptos Display" w:hAnsi="Aptos Display"/>
        </w:rPr>
      </w:pPr>
      <w:proofErr w:type="gramStart"/>
      <w:r w:rsidRPr="000C589B">
        <w:rPr>
          <w:rFonts w:ascii="Aptos Display" w:hAnsi="Aptos Display"/>
        </w:rPr>
        <w:t>Customer</w:t>
      </w:r>
      <w:proofErr w:type="gramEnd"/>
      <w:r w:rsidRPr="000C589B">
        <w:rPr>
          <w:rFonts w:ascii="Aptos Display" w:hAnsi="Aptos Display"/>
        </w:rPr>
        <w:t xml:space="preserve"> </w:t>
      </w:r>
      <w:proofErr w:type="gramStart"/>
      <w:r w:rsidRPr="000C589B">
        <w:rPr>
          <w:rFonts w:ascii="Aptos Display" w:hAnsi="Aptos Display"/>
        </w:rPr>
        <w:t>lacks</w:t>
      </w:r>
      <w:proofErr w:type="gramEnd"/>
      <w:r w:rsidRPr="000C589B">
        <w:rPr>
          <w:rFonts w:ascii="Aptos Display" w:hAnsi="Aptos Display"/>
        </w:rPr>
        <w:t xml:space="preserve"> internal IT or security resources.</w:t>
      </w:r>
    </w:p>
    <w:p w14:paraId="6FDCF9EC" w14:textId="77777777" w:rsidR="00824C32" w:rsidRPr="000C589B" w:rsidRDefault="00824C32" w:rsidP="00824C32">
      <w:pPr>
        <w:pStyle w:val="ListBullet"/>
        <w:numPr>
          <w:ilvl w:val="0"/>
          <w:numId w:val="10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Security, compliance, or cyber insurance concerns appear mid</w:t>
      </w:r>
      <w:r w:rsidRPr="000C589B">
        <w:rPr>
          <w:rFonts w:ascii="Cambria Math" w:hAnsi="Cambria Math" w:cs="Cambria Math"/>
        </w:rPr>
        <w:t>‑</w:t>
      </w:r>
      <w:r w:rsidRPr="000C589B">
        <w:rPr>
          <w:rFonts w:ascii="Aptos Display" w:hAnsi="Aptos Display"/>
        </w:rPr>
        <w:t>deal.</w:t>
      </w:r>
    </w:p>
    <w:p w14:paraId="0B6CBDE3" w14:textId="77777777" w:rsidR="00824C32" w:rsidRPr="000C589B" w:rsidRDefault="00824C32" w:rsidP="00824C32">
      <w:pPr>
        <w:pStyle w:val="ListBullet"/>
        <w:numPr>
          <w:ilvl w:val="0"/>
          <w:numId w:val="10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Multi</w:t>
      </w:r>
      <w:r w:rsidRPr="000C589B">
        <w:rPr>
          <w:rFonts w:ascii="Cambria Math" w:hAnsi="Cambria Math" w:cs="Cambria Math"/>
        </w:rPr>
        <w:t>‑</w:t>
      </w:r>
      <w:r w:rsidRPr="000C589B">
        <w:rPr>
          <w:rFonts w:ascii="Aptos Display" w:hAnsi="Aptos Display"/>
        </w:rPr>
        <w:t>site, cloud, or growth</w:t>
      </w:r>
      <w:r w:rsidRPr="000C589B">
        <w:rPr>
          <w:rFonts w:ascii="Cambria Math" w:hAnsi="Cambria Math" w:cs="Cambria Math"/>
        </w:rPr>
        <w:t>‑</w:t>
      </w:r>
      <w:r w:rsidRPr="000C589B">
        <w:rPr>
          <w:rFonts w:ascii="Aptos Display" w:hAnsi="Aptos Display"/>
        </w:rPr>
        <w:t>driven complexity increases risk.</w:t>
      </w:r>
    </w:p>
    <w:p w14:paraId="65BD5759" w14:textId="77777777" w:rsidR="00824C32" w:rsidRPr="000C589B" w:rsidRDefault="00824C32" w:rsidP="00824C32">
      <w:pPr>
        <w:pStyle w:val="ListBullet"/>
        <w:numPr>
          <w:ilvl w:val="0"/>
          <w:numId w:val="10"/>
        </w:numPr>
        <w:rPr>
          <w:rFonts w:ascii="Aptos Display" w:hAnsi="Aptos Display"/>
        </w:rPr>
      </w:pPr>
      <w:r w:rsidRPr="000C589B">
        <w:rPr>
          <w:rFonts w:ascii="Aptos Display" w:hAnsi="Aptos Display"/>
        </w:rPr>
        <w:t>Advisor wants to increase deal size without increasing operational burden.</w:t>
      </w:r>
    </w:p>
    <w:p w14:paraId="2BCCDFC7" w14:textId="77777777" w:rsidR="00824C32" w:rsidRPr="00695CBB" w:rsidRDefault="00824C32" w:rsidP="00695CBB">
      <w:pPr>
        <w:pStyle w:val="Heading1"/>
        <w:spacing w:after="0"/>
        <w:rPr>
          <w:rFonts w:ascii="Aptos Display" w:hAnsi="Aptos Display"/>
          <w:color w:val="FF3000"/>
        </w:rPr>
      </w:pPr>
      <w:r w:rsidRPr="00695CBB">
        <w:rPr>
          <w:rFonts w:ascii="Aptos Display" w:hAnsi="Aptos Display"/>
          <w:color w:val="FF3000"/>
        </w:rPr>
        <w:t>Next Steps</w:t>
      </w:r>
    </w:p>
    <w:p w14:paraId="6C8B08FD" w14:textId="13627232" w:rsidR="00ED6AC8" w:rsidRPr="003A4591" w:rsidRDefault="00824C32" w:rsidP="00695CBB">
      <w:pPr>
        <w:spacing w:after="0"/>
        <w:rPr>
          <w:rFonts w:ascii="Aptos Display" w:hAnsi="Aptos Display"/>
        </w:rPr>
      </w:pPr>
      <w:r w:rsidRPr="000C589B">
        <w:rPr>
          <w:rFonts w:ascii="Aptos Display" w:hAnsi="Aptos Display"/>
        </w:rPr>
        <w:t>Engage BCS365 through AVANT for a 30</w:t>
      </w:r>
      <w:r w:rsidRPr="000C589B">
        <w:rPr>
          <w:rFonts w:ascii="Cambria Math" w:hAnsi="Cambria Math" w:cs="Cambria Math"/>
        </w:rPr>
        <w:t>‑</w:t>
      </w:r>
      <w:r w:rsidRPr="000C589B">
        <w:rPr>
          <w:rFonts w:ascii="Aptos Display" w:hAnsi="Aptos Display"/>
        </w:rPr>
        <w:t>minute Fast Scope call to identify attach opportunities and build a phased, revenue</w:t>
      </w:r>
      <w:r w:rsidRPr="000C589B">
        <w:rPr>
          <w:rFonts w:ascii="Cambria Math" w:hAnsi="Cambria Math" w:cs="Cambria Math"/>
        </w:rPr>
        <w:t>‑</w:t>
      </w:r>
      <w:r w:rsidRPr="000C589B">
        <w:rPr>
          <w:rFonts w:ascii="Aptos Display" w:hAnsi="Aptos Display"/>
        </w:rPr>
        <w:t>expanding solution.</w:t>
      </w:r>
    </w:p>
    <w:sectPr w:rsidR="00ED6AC8" w:rsidRPr="003A4591" w:rsidSect="00295042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203DB" w14:textId="77777777" w:rsidR="002F5B4A" w:rsidRDefault="002F5B4A" w:rsidP="00644AB4">
      <w:pPr>
        <w:spacing w:after="0" w:line="240" w:lineRule="auto"/>
      </w:pPr>
      <w:r>
        <w:separator/>
      </w:r>
    </w:p>
  </w:endnote>
  <w:endnote w:type="continuationSeparator" w:id="0">
    <w:p w14:paraId="4E25661D" w14:textId="77777777" w:rsidR="002F5B4A" w:rsidRDefault="002F5B4A" w:rsidP="00644AB4">
      <w:pPr>
        <w:spacing w:after="0" w:line="240" w:lineRule="auto"/>
      </w:pPr>
      <w:r>
        <w:continuationSeparator/>
      </w:r>
    </w:p>
  </w:endnote>
  <w:endnote w:type="continuationNotice" w:id="1">
    <w:p w14:paraId="0E96FE61" w14:textId="77777777" w:rsidR="002F5B4A" w:rsidRDefault="002F5B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04B31" w14:textId="41D63CE2" w:rsidR="004408D3" w:rsidRDefault="00D161DF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14B01D9" wp14:editId="63B859CA">
          <wp:simplePos x="0" y="0"/>
          <wp:positionH relativeFrom="leftMargin">
            <wp:posOffset>519430</wp:posOffset>
          </wp:positionH>
          <wp:positionV relativeFrom="paragraph">
            <wp:posOffset>325120</wp:posOffset>
          </wp:positionV>
          <wp:extent cx="213995" cy="254000"/>
          <wp:effectExtent l="0" t="0" r="0" b="0"/>
          <wp:wrapNone/>
          <wp:docPr id="9" name="Picture 9" descr="A white phone handset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white phone handset on a black background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232E6E29" wp14:editId="096ADD4C">
          <wp:simplePos x="0" y="0"/>
          <wp:positionH relativeFrom="leftMargin">
            <wp:posOffset>1841500</wp:posOffset>
          </wp:positionH>
          <wp:positionV relativeFrom="paragraph">
            <wp:posOffset>314696</wp:posOffset>
          </wp:positionV>
          <wp:extent cx="213995" cy="254000"/>
          <wp:effectExtent l="0" t="0" r="0" b="0"/>
          <wp:wrapNone/>
          <wp:docPr id="12" name="Picture 12" descr="A picture containing circle, symmetry, 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 descr="A picture containing circle, symmetry, line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995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5D82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D603E94" wp14:editId="278ED191">
              <wp:simplePos x="0" y="0"/>
              <wp:positionH relativeFrom="page">
                <wp:posOffset>8255</wp:posOffset>
              </wp:positionH>
              <wp:positionV relativeFrom="paragraph">
                <wp:posOffset>267970</wp:posOffset>
              </wp:positionV>
              <wp:extent cx="7762875" cy="352425"/>
              <wp:effectExtent l="0" t="0" r="9525" b="952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62875" cy="352425"/>
                      </a:xfrm>
                      <a:prstGeom prst="rect">
                        <a:avLst/>
                      </a:prstGeom>
                      <a:solidFill>
                        <a:srgbClr val="0458E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256DAAE" w14:textId="0233152A" w:rsidR="00BC67BB" w:rsidRPr="00D161DF" w:rsidRDefault="00C71684" w:rsidP="00D161DF">
                          <w:pPr>
                            <w:spacing w:before="80"/>
                            <w:suppressOverlap/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781-870-0700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BCS365.com                          </w:t>
                          </w:r>
                          <w:r w:rsidR="00261064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</w:t>
                          </w:r>
                          <w:r w:rsidR="00C04A49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               </w:t>
                          </w:r>
                          <w:r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</w:t>
                          </w:r>
                          <w:r w:rsidR="00212EAA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</w:t>
                          </w:r>
                          <w:r w:rsidR="000E2B5E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</w:t>
                          </w:r>
                          <w:r w:rsid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                   </w:t>
                          </w:r>
                          <w:r w:rsidR="00570774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>BCS365 Attach Rate Booster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| 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="00BC67BB" w:rsidRPr="00D161DF">
                            <w:rPr>
                              <w:rFonts w:ascii="Aptos Display" w:hAnsi="Aptos Display" w:cs="Calibri"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5A7A4541" w14:textId="77777777" w:rsidR="00BC67BB" w:rsidRDefault="00BC67BB" w:rsidP="00BC67BB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D603E94" id="Rectangle 8" o:spid="_x0000_s1028" style="position:absolute;margin-left:.65pt;margin-top:21.1pt;width:611.25pt;height:27.75pt;z-index:-25165824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X+eXgIAALQEAAAOAAAAZHJzL2Uyb0RvYy54bWysVMFu2zAMvQ/YPwi6r068pEmDOkXQrsOA&#10;oi3QDj0rshwLkESNUmJ3Xz9Kdpuu22lYDgopUnzi06PPL3pr2EFh0OAqPj2ZcKachFq7XcW/P15/&#10;WnIWonC1MOBUxZ9V4Bfrjx/OO79SJbRgaoWMiriw6nzF2xj9qiiCbJUV4QS8chRsAK2I5OKuqFF0&#10;VN2aopxMTosOsPYIUoVAu1dDkK9z/aZRMt41TVCRmYrT3WJeMa/btBbrc7HaofCtluM1xD/cwgrt&#10;CPS11JWIgu1R/1HKaokQoIknEmwBTaOlyj1QN9PJu24eWuFV7oXICf6VpvD/ysrbw4O/R6Kh82EV&#10;yExd9A3a9E/3Y30m6/mVLNVHJmlzsTgtl4s5Z5Jin+flrJwnNovjaY8hflVgWTIqjvQYmSNxuAlx&#10;SH1JSWABjK6vtTHZwd320iA7iPRws/nyy2Ks/luacawj2ZWLCT2uFCSgxohIpvV1xYPbcSbMjpQp&#10;I2ZsBwkhv3rCvhKhHTBy2UEOVkfSpNG24stJ+o3IxqWbqayqsYMjacmK/bZnmoDLdCLtbKF+vkeG&#10;MAgveHmtCfZGhHgvkJRG16bpiXe0NAaoFxgtzlrAn3/bT/kkAIpy1pFyqc8fe4GKM/PNkTTOprNZ&#10;knp2ZvNFSQ6+jWzfRtzeXgJxPKU59TKbKT+aF7NBsE80ZJuESiHhJGEPjI7OZRwmisZUqs0mp5G8&#10;vYg37sHLVDwxlwh/7J8E+lERkbR0Cy8qF6t3whhy00kHm32ERmfVHHkltSWHRiPrbhzjNHtv/Zx1&#10;/NisfwEAAP//AwBQSwMEFAAGAAgAAAAhAJosyHXbAAAACAEAAA8AAABkcnMvZG93bnJldi54bWxM&#10;j81OwzAQhO9IvIO1SNyojUN/CHEqQKoEF6QWHmAbL0lEvI5stw1vj3uix9GMZr6p1pMbxJFC7D0b&#10;uJ8pEMSNtz23Br4+N3crEDEhWxw8k4FfirCur68qLK0/8ZaOu9SKXMKxRANdSmMpZWw6chhnfiTO&#10;3rcPDlOWoZU24CmXu0FqpRbSYc95ocORXjtqfnYHZ2DztkjFpF4aXHHYzufvUcmPaMztzfT8BCLR&#10;lP7DcMbP6FBnpr0/sI1iyLrIQQMPWoM421oX+crewONyCbKu5OWB+g8AAP//AwBQSwECLQAUAAYA&#10;CAAAACEAtoM4kv4AAADhAQAAEwAAAAAAAAAAAAAAAAAAAAAAW0NvbnRlbnRfVHlwZXNdLnhtbFBL&#10;AQItABQABgAIAAAAIQA4/SH/1gAAAJQBAAALAAAAAAAAAAAAAAAAAC8BAABfcmVscy8ucmVsc1BL&#10;AQItABQABgAIAAAAIQCbZX+eXgIAALQEAAAOAAAAAAAAAAAAAAAAAC4CAABkcnMvZTJvRG9jLnht&#10;bFBLAQItABQABgAIAAAAIQCaLMh12wAAAAgBAAAPAAAAAAAAAAAAAAAAALgEAABkcnMvZG93bnJl&#10;di54bWxQSwUGAAAAAAQABADzAAAAwAUAAAAA&#10;" fillcolor="#0458e7" stroked="f" strokeweight="1pt">
              <v:textbox>
                <w:txbxContent>
                  <w:p w14:paraId="2256DAAE" w14:textId="0233152A" w:rsidR="00BC67BB" w:rsidRPr="00D161DF" w:rsidRDefault="00C71684" w:rsidP="00D161DF">
                    <w:pPr>
                      <w:spacing w:before="80"/>
                      <w:suppressOverlap/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781-870-0700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BCS365.com                          </w:t>
                    </w:r>
                    <w:r w:rsidR="00261064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</w:t>
                    </w:r>
                    <w:r w:rsidR="00C04A49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               </w:t>
                    </w:r>
                    <w:r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</w:t>
                    </w:r>
                    <w:r w:rsidR="00212EAA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</w:t>
                    </w:r>
                    <w:r w:rsidR="000E2B5E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</w:t>
                    </w:r>
                    <w:r w:rsid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                   </w:t>
                    </w:r>
                    <w:r w:rsidR="00570774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>BCS365 Attach Rate Booster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t xml:space="preserve"> | </w: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instrText xml:space="preserve"> PAGE   \* MERGEFORMAT </w:instrText>
                    </w:r>
                    <w:r w:rsidR="00BC67BB" w:rsidRPr="00D161DF">
                      <w:rPr>
                        <w:rFonts w:ascii="Aptos Display" w:hAnsi="Aptos Display" w:cs="Calibri"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="00BC67BB" w:rsidRPr="00D161DF">
                      <w:rPr>
                        <w:rFonts w:ascii="Aptos Display" w:hAnsi="Aptos Display" w:cs="Calibri"/>
                        <w:noProof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  <w:p w14:paraId="5A7A4541" w14:textId="77777777" w:rsidR="00BC67BB" w:rsidRDefault="00BC67BB" w:rsidP="00BC67BB">
                    <w:pPr>
                      <w:jc w:val="center"/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DCD6B" w14:textId="77777777" w:rsidR="002F5B4A" w:rsidRDefault="002F5B4A" w:rsidP="00644AB4">
      <w:pPr>
        <w:spacing w:after="0" w:line="240" w:lineRule="auto"/>
      </w:pPr>
      <w:r>
        <w:separator/>
      </w:r>
    </w:p>
  </w:footnote>
  <w:footnote w:type="continuationSeparator" w:id="0">
    <w:p w14:paraId="2BA042EA" w14:textId="77777777" w:rsidR="002F5B4A" w:rsidRDefault="002F5B4A" w:rsidP="00644AB4">
      <w:pPr>
        <w:spacing w:after="0" w:line="240" w:lineRule="auto"/>
      </w:pPr>
      <w:r>
        <w:continuationSeparator/>
      </w:r>
    </w:p>
  </w:footnote>
  <w:footnote w:type="continuationNotice" w:id="1">
    <w:p w14:paraId="63E2B86A" w14:textId="77777777" w:rsidR="002F5B4A" w:rsidRDefault="002F5B4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159F" w14:textId="3F333B22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B704BC3" wp14:editId="08FF71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487485017" name="Text Box 12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6BC9E" w14:textId="336ECF91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04BC3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alt="BCS365 Public" style="position:absolute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EB6BC9E" w14:textId="336ECF91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825E4" w14:textId="726619B1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51F48E2A" wp14:editId="226FCFF4">
              <wp:simplePos x="914400" y="4572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2011914886" name="Text Box 13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FD217E" w14:textId="63FAB2EB" w:rsidR="00567A13" w:rsidRPr="000214AA" w:rsidRDefault="00567A13" w:rsidP="00567A13">
                          <w:pPr>
                            <w:spacing w:after="0"/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0214AA">
                            <w:rPr>
                              <w:rFonts w:ascii="Aptos Display" w:eastAsia="Calibri" w:hAnsi="Aptos Display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F48E2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alt="BCS365 Public" style="position:absolute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2FD217E" w14:textId="63FAB2EB" w:rsidR="00567A13" w:rsidRPr="000214AA" w:rsidRDefault="00567A13" w:rsidP="00567A13">
                    <w:pPr>
                      <w:spacing w:after="0"/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0214AA">
                      <w:rPr>
                        <w:rFonts w:ascii="Aptos Display" w:eastAsia="Calibri" w:hAnsi="Aptos Display" w:cs="Calibri"/>
                        <w:noProof/>
                        <w:color w:val="000000"/>
                        <w:sz w:val="16"/>
                        <w:szCs w:val="16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43275" w14:textId="0B26F45B" w:rsidR="00CF6C3A" w:rsidRDefault="00567A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0790F36" wp14:editId="1C27D1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4605" b="4445"/>
              <wp:wrapNone/>
              <wp:docPr id="1890909486" name="Text Box 11" descr="BCS365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99169" w14:textId="057C600F" w:rsidR="00567A13" w:rsidRPr="00567A13" w:rsidRDefault="00567A13" w:rsidP="00567A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67A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BCS365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90F3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9" type="#_x0000_t202" alt="BCS365 Public" style="position:absolute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2VCgIAABwEAAAOAAAAZHJzL2Uyb0RvYy54bWysU01v2zAMvQ/YfxB0X+z0C50Rp8haZBgQ&#10;tAXSoWdFlmMDkihITOzs14+S7Wbrdhp2kSmSfiQfnxZ3vdHsqHxowZZ8Pss5U1ZC1dp9yb+/rD/d&#10;chZQ2EposKrkJxX43fLjh0XnCnUBDehKeUYgNhSdK3mD6IosC7JRRoQZOGUpWIM3Aunq91nlRUfo&#10;RmcXeX6TdeAr50GqEMj7MAT5MuHXtZL4VNdBIdMlp94wnT6du3hmy4Uo9l64ppVjG+IfujCitVT0&#10;DepBoGAH3/4BZVrpIUCNMwkmg7pupUoz0DTz/N0020Y4lWYhcoJ7oyn8P1j5eNy6Z8+w/wI9LTAS&#10;0rlQBHLGefram/ilThnFicLTG22qRybJeXV1eXtzzZmk0GgTSnb+2fmAXxUYFo2Se9pKIkscNwGH&#10;1Ckl1rKwbrVOm9H2NwdhRk927jBa2O961lYlv5y630F1oqE8DPsOTq5bKr0RAZ+FpwXTHCRafKKj&#10;1tCVHEaLswb8j7/5Yz7xTlHOOhJMyS0pmjP9zdI+oraSMf+cX+d085N7Nxn2YO6BZDinF+FkMmMe&#10;6smsPZhXkvMqFqKQsJLKlRwn8x4H5dJzkGq1SkkkIydwY7dORuhIV+TypX8V3o2EI23qESY1ieId&#10;70Nu/DO41QGJ/bSUSO1A5Mg4STCtdXwuUeO/3lPW+VEvfwI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LpY2V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2E99169" w14:textId="057C600F" w:rsidR="00567A13" w:rsidRPr="00567A13" w:rsidRDefault="00567A13" w:rsidP="00567A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67A1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BCS365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67291B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246F25"/>
    <w:multiLevelType w:val="hybridMultilevel"/>
    <w:tmpl w:val="5A7E051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FE62EC4"/>
    <w:multiLevelType w:val="hybridMultilevel"/>
    <w:tmpl w:val="909AC7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134DF5"/>
    <w:multiLevelType w:val="hybridMultilevel"/>
    <w:tmpl w:val="CB086C5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345363"/>
    <w:multiLevelType w:val="hybridMultilevel"/>
    <w:tmpl w:val="A0F0916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6B46EC"/>
    <w:multiLevelType w:val="hybridMultilevel"/>
    <w:tmpl w:val="3C7E0B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8D602E"/>
    <w:multiLevelType w:val="hybridMultilevel"/>
    <w:tmpl w:val="36ACBAF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2D26D6"/>
    <w:multiLevelType w:val="hybridMultilevel"/>
    <w:tmpl w:val="3B92B1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2914F2"/>
    <w:multiLevelType w:val="hybridMultilevel"/>
    <w:tmpl w:val="59CE8D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B31A06"/>
    <w:multiLevelType w:val="hybridMultilevel"/>
    <w:tmpl w:val="1B0614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5E49CB"/>
    <w:multiLevelType w:val="hybridMultilevel"/>
    <w:tmpl w:val="4F503C0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2A81C7A"/>
    <w:multiLevelType w:val="hybridMultilevel"/>
    <w:tmpl w:val="4F84DFF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4DE683D"/>
    <w:multiLevelType w:val="hybridMultilevel"/>
    <w:tmpl w:val="585E78F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ADE26DE"/>
    <w:multiLevelType w:val="hybridMultilevel"/>
    <w:tmpl w:val="75780E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CC05387"/>
    <w:multiLevelType w:val="hybridMultilevel"/>
    <w:tmpl w:val="2EB427A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DE3AD5"/>
    <w:multiLevelType w:val="hybridMultilevel"/>
    <w:tmpl w:val="65E2FC9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3E6320"/>
    <w:multiLevelType w:val="hybridMultilevel"/>
    <w:tmpl w:val="22DA80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8973919">
    <w:abstractNumId w:val="0"/>
  </w:num>
  <w:num w:numId="2" w16cid:durableId="1194995736">
    <w:abstractNumId w:val="8"/>
  </w:num>
  <w:num w:numId="3" w16cid:durableId="1566063124">
    <w:abstractNumId w:val="9"/>
  </w:num>
  <w:num w:numId="4" w16cid:durableId="958532052">
    <w:abstractNumId w:val="7"/>
  </w:num>
  <w:num w:numId="5" w16cid:durableId="1317491603">
    <w:abstractNumId w:val="12"/>
  </w:num>
  <w:num w:numId="6" w16cid:durableId="1117258763">
    <w:abstractNumId w:val="10"/>
  </w:num>
  <w:num w:numId="7" w16cid:durableId="567155146">
    <w:abstractNumId w:val="5"/>
  </w:num>
  <w:num w:numId="8" w16cid:durableId="1656181461">
    <w:abstractNumId w:val="14"/>
  </w:num>
  <w:num w:numId="9" w16cid:durableId="1411274384">
    <w:abstractNumId w:val="1"/>
  </w:num>
  <w:num w:numId="10" w16cid:durableId="946237878">
    <w:abstractNumId w:val="3"/>
  </w:num>
  <w:num w:numId="11" w16cid:durableId="844714069">
    <w:abstractNumId w:val="2"/>
  </w:num>
  <w:num w:numId="12" w16cid:durableId="759135908">
    <w:abstractNumId w:val="6"/>
  </w:num>
  <w:num w:numId="13" w16cid:durableId="58554401">
    <w:abstractNumId w:val="11"/>
  </w:num>
  <w:num w:numId="14" w16cid:durableId="884096600">
    <w:abstractNumId w:val="13"/>
  </w:num>
  <w:num w:numId="15" w16cid:durableId="1412241823">
    <w:abstractNumId w:val="4"/>
  </w:num>
  <w:num w:numId="16" w16cid:durableId="604849739">
    <w:abstractNumId w:val="15"/>
  </w:num>
  <w:num w:numId="17" w16cid:durableId="1356035259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4"/>
    <w:rsid w:val="000020FA"/>
    <w:rsid w:val="00012F46"/>
    <w:rsid w:val="0001334B"/>
    <w:rsid w:val="000214AA"/>
    <w:rsid w:val="00026330"/>
    <w:rsid w:val="00030226"/>
    <w:rsid w:val="00032E26"/>
    <w:rsid w:val="00062A9E"/>
    <w:rsid w:val="000774F0"/>
    <w:rsid w:val="0008394E"/>
    <w:rsid w:val="000848E5"/>
    <w:rsid w:val="00091649"/>
    <w:rsid w:val="00092D2B"/>
    <w:rsid w:val="00096FE2"/>
    <w:rsid w:val="00097CC9"/>
    <w:rsid w:val="000A2CCB"/>
    <w:rsid w:val="000A3F31"/>
    <w:rsid w:val="000A7497"/>
    <w:rsid w:val="000B2416"/>
    <w:rsid w:val="000B39D7"/>
    <w:rsid w:val="000B58A2"/>
    <w:rsid w:val="000B706F"/>
    <w:rsid w:val="000C1EAD"/>
    <w:rsid w:val="000C40C5"/>
    <w:rsid w:val="000E21D4"/>
    <w:rsid w:val="000E2B5E"/>
    <w:rsid w:val="000F64EB"/>
    <w:rsid w:val="001021B0"/>
    <w:rsid w:val="00106A9D"/>
    <w:rsid w:val="001244AF"/>
    <w:rsid w:val="001278AD"/>
    <w:rsid w:val="00127F43"/>
    <w:rsid w:val="00140846"/>
    <w:rsid w:val="0014164B"/>
    <w:rsid w:val="0014599B"/>
    <w:rsid w:val="001676F1"/>
    <w:rsid w:val="0016786F"/>
    <w:rsid w:val="0017058D"/>
    <w:rsid w:val="0017315D"/>
    <w:rsid w:val="00177AF7"/>
    <w:rsid w:val="00183CF3"/>
    <w:rsid w:val="00185C50"/>
    <w:rsid w:val="0019459A"/>
    <w:rsid w:val="001B4E1D"/>
    <w:rsid w:val="001B6601"/>
    <w:rsid w:val="001C5350"/>
    <w:rsid w:val="001C753D"/>
    <w:rsid w:val="001D61D8"/>
    <w:rsid w:val="0020318D"/>
    <w:rsid w:val="0020529B"/>
    <w:rsid w:val="00207F85"/>
    <w:rsid w:val="00211678"/>
    <w:rsid w:val="0021177D"/>
    <w:rsid w:val="00212EAA"/>
    <w:rsid w:val="00214662"/>
    <w:rsid w:val="00215795"/>
    <w:rsid w:val="002211AF"/>
    <w:rsid w:val="00236933"/>
    <w:rsid w:val="00243659"/>
    <w:rsid w:val="00245762"/>
    <w:rsid w:val="00257470"/>
    <w:rsid w:val="00257938"/>
    <w:rsid w:val="00260193"/>
    <w:rsid w:val="00261064"/>
    <w:rsid w:val="00273229"/>
    <w:rsid w:val="0028218A"/>
    <w:rsid w:val="002835F0"/>
    <w:rsid w:val="00295042"/>
    <w:rsid w:val="002A1D51"/>
    <w:rsid w:val="002C4213"/>
    <w:rsid w:val="002C6A20"/>
    <w:rsid w:val="002E403D"/>
    <w:rsid w:val="002E7B6E"/>
    <w:rsid w:val="002F2E01"/>
    <w:rsid w:val="002F5B4A"/>
    <w:rsid w:val="00305758"/>
    <w:rsid w:val="003208E2"/>
    <w:rsid w:val="00326126"/>
    <w:rsid w:val="00330C31"/>
    <w:rsid w:val="0033683B"/>
    <w:rsid w:val="00340D5E"/>
    <w:rsid w:val="00343A33"/>
    <w:rsid w:val="0034745B"/>
    <w:rsid w:val="0035055A"/>
    <w:rsid w:val="00351222"/>
    <w:rsid w:val="0035584E"/>
    <w:rsid w:val="00357C8A"/>
    <w:rsid w:val="00361504"/>
    <w:rsid w:val="003670D4"/>
    <w:rsid w:val="00371068"/>
    <w:rsid w:val="00390DFA"/>
    <w:rsid w:val="003A325F"/>
    <w:rsid w:val="003A36E8"/>
    <w:rsid w:val="003A43B5"/>
    <w:rsid w:val="003A4591"/>
    <w:rsid w:val="003C3CC0"/>
    <w:rsid w:val="003E0954"/>
    <w:rsid w:val="003E4575"/>
    <w:rsid w:val="003F0151"/>
    <w:rsid w:val="003F7C12"/>
    <w:rsid w:val="004069B6"/>
    <w:rsid w:val="004161AD"/>
    <w:rsid w:val="0042638E"/>
    <w:rsid w:val="004408D3"/>
    <w:rsid w:val="00445C67"/>
    <w:rsid w:val="0045036A"/>
    <w:rsid w:val="00451F8E"/>
    <w:rsid w:val="0045338E"/>
    <w:rsid w:val="00455FC3"/>
    <w:rsid w:val="004600AF"/>
    <w:rsid w:val="00463DD0"/>
    <w:rsid w:val="004716E6"/>
    <w:rsid w:val="00473504"/>
    <w:rsid w:val="004814D6"/>
    <w:rsid w:val="00484158"/>
    <w:rsid w:val="004A1110"/>
    <w:rsid w:val="004A1C45"/>
    <w:rsid w:val="004A3764"/>
    <w:rsid w:val="004A4414"/>
    <w:rsid w:val="004B7F36"/>
    <w:rsid w:val="004C0EC2"/>
    <w:rsid w:val="004C7E7E"/>
    <w:rsid w:val="004D02E4"/>
    <w:rsid w:val="004D3E72"/>
    <w:rsid w:val="004E2301"/>
    <w:rsid w:val="004F3BCD"/>
    <w:rsid w:val="004F5F57"/>
    <w:rsid w:val="00500D09"/>
    <w:rsid w:val="00502025"/>
    <w:rsid w:val="0051178E"/>
    <w:rsid w:val="00515EB3"/>
    <w:rsid w:val="00517025"/>
    <w:rsid w:val="0052498F"/>
    <w:rsid w:val="00525E89"/>
    <w:rsid w:val="005327ED"/>
    <w:rsid w:val="005409D5"/>
    <w:rsid w:val="00540BBA"/>
    <w:rsid w:val="00541207"/>
    <w:rsid w:val="00545C67"/>
    <w:rsid w:val="00557770"/>
    <w:rsid w:val="00562BE7"/>
    <w:rsid w:val="0056580D"/>
    <w:rsid w:val="00567A13"/>
    <w:rsid w:val="00570774"/>
    <w:rsid w:val="00591C5F"/>
    <w:rsid w:val="00593997"/>
    <w:rsid w:val="00595523"/>
    <w:rsid w:val="005966A4"/>
    <w:rsid w:val="005A4F62"/>
    <w:rsid w:val="005A5DD1"/>
    <w:rsid w:val="005B0CE0"/>
    <w:rsid w:val="005B2C59"/>
    <w:rsid w:val="005D4998"/>
    <w:rsid w:val="005D7F9F"/>
    <w:rsid w:val="0060064A"/>
    <w:rsid w:val="00621FC5"/>
    <w:rsid w:val="00630B99"/>
    <w:rsid w:val="00644AB4"/>
    <w:rsid w:val="006519E3"/>
    <w:rsid w:val="00657531"/>
    <w:rsid w:val="00657947"/>
    <w:rsid w:val="00665334"/>
    <w:rsid w:val="00666438"/>
    <w:rsid w:val="006809F2"/>
    <w:rsid w:val="00683C41"/>
    <w:rsid w:val="0069187C"/>
    <w:rsid w:val="00695CBB"/>
    <w:rsid w:val="006B1EBA"/>
    <w:rsid w:val="006B79F8"/>
    <w:rsid w:val="006C0B10"/>
    <w:rsid w:val="006C219B"/>
    <w:rsid w:val="006C2552"/>
    <w:rsid w:val="006E4871"/>
    <w:rsid w:val="006F583F"/>
    <w:rsid w:val="006F65CA"/>
    <w:rsid w:val="00700CF3"/>
    <w:rsid w:val="00706958"/>
    <w:rsid w:val="007122EC"/>
    <w:rsid w:val="00721FE7"/>
    <w:rsid w:val="00722A94"/>
    <w:rsid w:val="007246AE"/>
    <w:rsid w:val="007419BF"/>
    <w:rsid w:val="00752DE4"/>
    <w:rsid w:val="00755C04"/>
    <w:rsid w:val="0076345A"/>
    <w:rsid w:val="00764EBE"/>
    <w:rsid w:val="007720E4"/>
    <w:rsid w:val="007B7680"/>
    <w:rsid w:val="007C2D2A"/>
    <w:rsid w:val="007D76D0"/>
    <w:rsid w:val="007E1153"/>
    <w:rsid w:val="00801CD6"/>
    <w:rsid w:val="008045C7"/>
    <w:rsid w:val="00814681"/>
    <w:rsid w:val="00815A59"/>
    <w:rsid w:val="00820996"/>
    <w:rsid w:val="00824C32"/>
    <w:rsid w:val="00825CE8"/>
    <w:rsid w:val="00832271"/>
    <w:rsid w:val="0084050C"/>
    <w:rsid w:val="00840E87"/>
    <w:rsid w:val="00844E1A"/>
    <w:rsid w:val="0087557F"/>
    <w:rsid w:val="00891F7E"/>
    <w:rsid w:val="0089348E"/>
    <w:rsid w:val="008942A9"/>
    <w:rsid w:val="00896A97"/>
    <w:rsid w:val="008B1C9F"/>
    <w:rsid w:val="008C048C"/>
    <w:rsid w:val="008C1E48"/>
    <w:rsid w:val="008C62F9"/>
    <w:rsid w:val="008D6CF3"/>
    <w:rsid w:val="008D75EB"/>
    <w:rsid w:val="008D7B51"/>
    <w:rsid w:val="008E2D21"/>
    <w:rsid w:val="00900FFE"/>
    <w:rsid w:val="00901489"/>
    <w:rsid w:val="00927ED3"/>
    <w:rsid w:val="00940CD5"/>
    <w:rsid w:val="0094242C"/>
    <w:rsid w:val="009466A6"/>
    <w:rsid w:val="009471DF"/>
    <w:rsid w:val="00960411"/>
    <w:rsid w:val="00974B67"/>
    <w:rsid w:val="009825A4"/>
    <w:rsid w:val="0098429A"/>
    <w:rsid w:val="00984B72"/>
    <w:rsid w:val="009907FB"/>
    <w:rsid w:val="00990DBC"/>
    <w:rsid w:val="00997302"/>
    <w:rsid w:val="009B245E"/>
    <w:rsid w:val="009B2D8F"/>
    <w:rsid w:val="009B6E3E"/>
    <w:rsid w:val="009C2DF5"/>
    <w:rsid w:val="009C63DC"/>
    <w:rsid w:val="009D1726"/>
    <w:rsid w:val="009D21F4"/>
    <w:rsid w:val="009D650F"/>
    <w:rsid w:val="009D6EE2"/>
    <w:rsid w:val="009E7F7A"/>
    <w:rsid w:val="009F375F"/>
    <w:rsid w:val="00A01C9C"/>
    <w:rsid w:val="00A062CA"/>
    <w:rsid w:val="00A06CF8"/>
    <w:rsid w:val="00A072A4"/>
    <w:rsid w:val="00A230C8"/>
    <w:rsid w:val="00A26884"/>
    <w:rsid w:val="00A276AD"/>
    <w:rsid w:val="00A329E9"/>
    <w:rsid w:val="00A35D72"/>
    <w:rsid w:val="00A40A73"/>
    <w:rsid w:val="00A43270"/>
    <w:rsid w:val="00A51C91"/>
    <w:rsid w:val="00A53965"/>
    <w:rsid w:val="00A54BD8"/>
    <w:rsid w:val="00A62372"/>
    <w:rsid w:val="00A62EF4"/>
    <w:rsid w:val="00A63931"/>
    <w:rsid w:val="00A65E85"/>
    <w:rsid w:val="00A73EE1"/>
    <w:rsid w:val="00A846AE"/>
    <w:rsid w:val="00A87BF3"/>
    <w:rsid w:val="00A90103"/>
    <w:rsid w:val="00A908D7"/>
    <w:rsid w:val="00A9284D"/>
    <w:rsid w:val="00A93791"/>
    <w:rsid w:val="00AA3AB5"/>
    <w:rsid w:val="00AB2B65"/>
    <w:rsid w:val="00AB4090"/>
    <w:rsid w:val="00AC62F0"/>
    <w:rsid w:val="00AD52EF"/>
    <w:rsid w:val="00AE03E7"/>
    <w:rsid w:val="00AE399B"/>
    <w:rsid w:val="00AF3133"/>
    <w:rsid w:val="00B00FF1"/>
    <w:rsid w:val="00B02C62"/>
    <w:rsid w:val="00B14B08"/>
    <w:rsid w:val="00B25C55"/>
    <w:rsid w:val="00B30739"/>
    <w:rsid w:val="00B3213B"/>
    <w:rsid w:val="00B378E9"/>
    <w:rsid w:val="00B42585"/>
    <w:rsid w:val="00B6648B"/>
    <w:rsid w:val="00B859B7"/>
    <w:rsid w:val="00B958E8"/>
    <w:rsid w:val="00BB18AE"/>
    <w:rsid w:val="00BB5ED8"/>
    <w:rsid w:val="00BB6EA2"/>
    <w:rsid w:val="00BC5184"/>
    <w:rsid w:val="00BC67BB"/>
    <w:rsid w:val="00BD4B20"/>
    <w:rsid w:val="00BD7EC5"/>
    <w:rsid w:val="00BE18D6"/>
    <w:rsid w:val="00BE2D27"/>
    <w:rsid w:val="00BE5BB8"/>
    <w:rsid w:val="00BF6AC0"/>
    <w:rsid w:val="00C00128"/>
    <w:rsid w:val="00C02457"/>
    <w:rsid w:val="00C0386F"/>
    <w:rsid w:val="00C04A49"/>
    <w:rsid w:val="00C05E51"/>
    <w:rsid w:val="00C167A1"/>
    <w:rsid w:val="00C27878"/>
    <w:rsid w:val="00C27E3A"/>
    <w:rsid w:val="00C36F0E"/>
    <w:rsid w:val="00C37B8B"/>
    <w:rsid w:val="00C53646"/>
    <w:rsid w:val="00C57F30"/>
    <w:rsid w:val="00C658C8"/>
    <w:rsid w:val="00C71684"/>
    <w:rsid w:val="00C8207F"/>
    <w:rsid w:val="00C90DDF"/>
    <w:rsid w:val="00C95BBF"/>
    <w:rsid w:val="00CA5F4D"/>
    <w:rsid w:val="00CA7A3F"/>
    <w:rsid w:val="00CB5425"/>
    <w:rsid w:val="00CC1B6C"/>
    <w:rsid w:val="00CC3738"/>
    <w:rsid w:val="00CD01A4"/>
    <w:rsid w:val="00CD687C"/>
    <w:rsid w:val="00CE3C13"/>
    <w:rsid w:val="00CE4ABD"/>
    <w:rsid w:val="00CF0D6F"/>
    <w:rsid w:val="00CF6C3A"/>
    <w:rsid w:val="00CF74E8"/>
    <w:rsid w:val="00D0259E"/>
    <w:rsid w:val="00D0571B"/>
    <w:rsid w:val="00D07843"/>
    <w:rsid w:val="00D161DF"/>
    <w:rsid w:val="00D228B1"/>
    <w:rsid w:val="00D378DD"/>
    <w:rsid w:val="00D42B20"/>
    <w:rsid w:val="00D44E86"/>
    <w:rsid w:val="00D45CFD"/>
    <w:rsid w:val="00D46D40"/>
    <w:rsid w:val="00D5318B"/>
    <w:rsid w:val="00D60CCD"/>
    <w:rsid w:val="00D66CC3"/>
    <w:rsid w:val="00D6736F"/>
    <w:rsid w:val="00D804D1"/>
    <w:rsid w:val="00D8163E"/>
    <w:rsid w:val="00D9443A"/>
    <w:rsid w:val="00DA71D0"/>
    <w:rsid w:val="00DB10F9"/>
    <w:rsid w:val="00DC067B"/>
    <w:rsid w:val="00DC228E"/>
    <w:rsid w:val="00DC6AEF"/>
    <w:rsid w:val="00DD27D9"/>
    <w:rsid w:val="00DD5BE0"/>
    <w:rsid w:val="00DD7315"/>
    <w:rsid w:val="00DE225C"/>
    <w:rsid w:val="00DE3C13"/>
    <w:rsid w:val="00DE5D82"/>
    <w:rsid w:val="00E018C7"/>
    <w:rsid w:val="00E04065"/>
    <w:rsid w:val="00E104FE"/>
    <w:rsid w:val="00E150A1"/>
    <w:rsid w:val="00E247ED"/>
    <w:rsid w:val="00E24F1D"/>
    <w:rsid w:val="00E251C6"/>
    <w:rsid w:val="00E31FCC"/>
    <w:rsid w:val="00E32BFB"/>
    <w:rsid w:val="00E37635"/>
    <w:rsid w:val="00E42986"/>
    <w:rsid w:val="00E45A3A"/>
    <w:rsid w:val="00E50558"/>
    <w:rsid w:val="00E648F6"/>
    <w:rsid w:val="00E706F5"/>
    <w:rsid w:val="00E73671"/>
    <w:rsid w:val="00E73A77"/>
    <w:rsid w:val="00E73EF9"/>
    <w:rsid w:val="00E77EAB"/>
    <w:rsid w:val="00E862F3"/>
    <w:rsid w:val="00E87251"/>
    <w:rsid w:val="00E90F70"/>
    <w:rsid w:val="00EA171D"/>
    <w:rsid w:val="00EA5309"/>
    <w:rsid w:val="00EB1594"/>
    <w:rsid w:val="00EB2EB1"/>
    <w:rsid w:val="00EB471E"/>
    <w:rsid w:val="00EB6B28"/>
    <w:rsid w:val="00ED30C4"/>
    <w:rsid w:val="00ED6AC8"/>
    <w:rsid w:val="00EF616D"/>
    <w:rsid w:val="00F06ADC"/>
    <w:rsid w:val="00F1410C"/>
    <w:rsid w:val="00F14F0D"/>
    <w:rsid w:val="00F14FC3"/>
    <w:rsid w:val="00F15043"/>
    <w:rsid w:val="00F16AF6"/>
    <w:rsid w:val="00F23E16"/>
    <w:rsid w:val="00F24DFA"/>
    <w:rsid w:val="00F316AB"/>
    <w:rsid w:val="00F34CE4"/>
    <w:rsid w:val="00F3732F"/>
    <w:rsid w:val="00F61DB1"/>
    <w:rsid w:val="00F642EF"/>
    <w:rsid w:val="00F644B1"/>
    <w:rsid w:val="00F7620B"/>
    <w:rsid w:val="00F77608"/>
    <w:rsid w:val="00F8711B"/>
    <w:rsid w:val="00F8777D"/>
    <w:rsid w:val="00F87D5E"/>
    <w:rsid w:val="00F92D78"/>
    <w:rsid w:val="00FA09C0"/>
    <w:rsid w:val="00FB60EF"/>
    <w:rsid w:val="00FC434E"/>
    <w:rsid w:val="00FD4CD7"/>
    <w:rsid w:val="00FE1E82"/>
    <w:rsid w:val="1DDF662F"/>
    <w:rsid w:val="60CB878B"/>
    <w:rsid w:val="6376B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8C9EE0"/>
  <w15:chartTrackingRefBased/>
  <w15:docId w15:val="{5D047FF6-4B08-4750-9E38-0BFC99DF2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2F0"/>
  </w:style>
  <w:style w:type="paragraph" w:styleId="Heading1">
    <w:name w:val="heading 1"/>
    <w:link w:val="Heading1Char"/>
    <w:uiPriority w:val="9"/>
    <w:qFormat/>
    <w:rsid w:val="00B30739"/>
    <w:pPr>
      <w:spacing w:before="360" w:after="200" w:line="240" w:lineRule="auto"/>
      <w:outlineLvl w:val="0"/>
    </w:pPr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paragraph" w:styleId="Heading2">
    <w:name w:val="heading 2"/>
    <w:link w:val="Heading2Char"/>
    <w:uiPriority w:val="9"/>
    <w:unhideWhenUsed/>
    <w:qFormat/>
    <w:rsid w:val="00B30739"/>
    <w:pPr>
      <w:spacing w:before="280" w:after="140" w:line="240" w:lineRule="auto"/>
      <w:outlineLvl w:val="1"/>
    </w:pPr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C5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4AB4"/>
  </w:style>
  <w:style w:type="paragraph" w:styleId="Footer">
    <w:name w:val="footer"/>
    <w:basedOn w:val="Normal"/>
    <w:link w:val="FooterChar"/>
    <w:uiPriority w:val="99"/>
    <w:unhideWhenUsed/>
    <w:rsid w:val="00644A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AB4"/>
  </w:style>
  <w:style w:type="paragraph" w:customStyle="1" w:styleId="BasicParagraph">
    <w:name w:val="[Basic Paragraph]"/>
    <w:basedOn w:val="Normal"/>
    <w:uiPriority w:val="99"/>
    <w:rsid w:val="00644AB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  <w:sz w:val="24"/>
      <w:szCs w:val="24"/>
    </w:rPr>
  </w:style>
  <w:style w:type="paragraph" w:styleId="ListParagraph">
    <w:name w:val="List Paragraph"/>
    <w:basedOn w:val="Normal"/>
    <w:qFormat/>
    <w:rsid w:val="0051178E"/>
    <w:pPr>
      <w:ind w:left="720"/>
      <w:contextualSpacing/>
    </w:pPr>
  </w:style>
  <w:style w:type="paragraph" w:customStyle="1" w:styleId="PDParagraphDefault">
    <w:name w:val="PDParagraphDefault"/>
    <w:basedOn w:val="Normal"/>
    <w:uiPriority w:val="99"/>
    <w:rsid w:val="008D7B51"/>
    <w:pPr>
      <w:spacing w:after="0" w:line="360" w:lineRule="auto"/>
    </w:pPr>
    <w:rPr>
      <w:rFonts w:ascii="Montserrat" w:hAnsi="Montserrat" w:cs="Montserrat"/>
      <w:color w:val="000000"/>
      <w:kern w:val="0"/>
      <w:sz w:val="18"/>
      <w:szCs w:val="18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B30739"/>
    <w:rPr>
      <w:rFonts w:ascii="Arial" w:eastAsia="Arial" w:hAnsi="Arial" w:cs="Arial"/>
      <w:b/>
      <w:bCs/>
      <w:color w:val="1A365D"/>
      <w:kern w:val="0"/>
      <w:sz w:val="36"/>
      <w:szCs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B30739"/>
    <w:rPr>
      <w:rFonts w:ascii="Arial" w:eastAsia="Arial" w:hAnsi="Arial" w:cs="Arial"/>
      <w:b/>
      <w:bCs/>
      <w:color w:val="2B4570"/>
      <w:kern w:val="0"/>
      <w:sz w:val="28"/>
      <w:szCs w:val="28"/>
      <w14:ligatures w14:val="none"/>
    </w:rPr>
  </w:style>
  <w:style w:type="table" w:styleId="TableGridLight">
    <w:name w:val="Grid Table Light"/>
    <w:basedOn w:val="TableNormal"/>
    <w:uiPriority w:val="40"/>
    <w:rsid w:val="00A06CF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-Accent1">
    <w:name w:val="Grid Table 2 Accent 1"/>
    <w:basedOn w:val="TableNormal"/>
    <w:uiPriority w:val="47"/>
    <w:rsid w:val="00A06CF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A06CF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3">
    <w:name w:val="Grid Table 3"/>
    <w:basedOn w:val="TableNormal"/>
    <w:uiPriority w:val="48"/>
    <w:rsid w:val="00F87D5E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185C5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62CA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541207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06992b2-54ce-4de0-bb26-5c4bb5613fdd}" enabled="1" method="Privileged" siteId="{296011fb-a57d-42be-a1bb-ff2c402079b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462</Words>
  <Characters>2796</Characters>
  <Application>Microsoft Office Word</Application>
  <DocSecurity>0</DocSecurity>
  <Lines>61</Lines>
  <Paragraphs>53</Paragraphs>
  <ScaleCrop>false</ScaleCrop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Morna Brady</dc:creator>
  <cp:keywords/>
  <dc:description/>
  <cp:lastModifiedBy>Morna Brady</cp:lastModifiedBy>
  <cp:revision>32</cp:revision>
  <cp:lastPrinted>2026-01-28T20:01:00Z</cp:lastPrinted>
  <dcterms:created xsi:type="dcterms:W3CDTF">2026-02-23T15:13:00Z</dcterms:created>
  <dcterms:modified xsi:type="dcterms:W3CDTF">2026-03-12T16:07:00Z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70b4fd2e,58a93859,77eb6286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BCS365 Public</vt:lpwstr>
  </property>
</Properties>
</file>